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31737" w14:textId="2AA1060E" w:rsidR="00363C74" w:rsidRDefault="00517105">
      <w:pPr>
        <w:jc w:val="center"/>
        <w:rPr>
          <w:szCs w:val="24"/>
          <w:lang w:val="en-GB"/>
        </w:rPr>
      </w:pPr>
      <w:r>
        <w:rPr>
          <w:szCs w:val="24"/>
          <w:lang w:val="en-GB"/>
        </w:rPr>
        <w:br/>
      </w:r>
    </w:p>
    <w:p w14:paraId="1B3E75AC" w14:textId="77777777" w:rsidR="00363C74" w:rsidRDefault="00517105">
      <w:pPr>
        <w:jc w:val="center"/>
        <w:rPr>
          <w:rStyle w:val="Strong"/>
          <w:szCs w:val="24"/>
          <w:lang w:val="en-GB"/>
        </w:rPr>
      </w:pPr>
      <w:r>
        <w:rPr>
          <w:b/>
          <w:sz w:val="28"/>
          <w:szCs w:val="28"/>
          <w:lang w:val="en-GB"/>
        </w:rPr>
        <w:t>CONTRACT NOTICE</w:t>
      </w:r>
    </w:p>
    <w:p w14:paraId="014D8E05" w14:textId="77777777" w:rsidR="00363C74" w:rsidRDefault="00517105">
      <w:pPr>
        <w:spacing w:beforeAutospacing="1" w:afterAutospacing="1"/>
        <w:rPr>
          <w:rStyle w:val="Strong"/>
          <w:szCs w:val="24"/>
          <w:u w:val="single"/>
          <w:lang w:val="en-GB"/>
        </w:rPr>
      </w:pPr>
      <w:r>
        <w:rPr>
          <w:b/>
          <w:szCs w:val="24"/>
          <w:u w:val="single"/>
          <w:lang w:val="en-GB"/>
        </w:rPr>
        <w:t xml:space="preserve">CALL FOR TENDER: GENERAL INFORMATION </w:t>
      </w:r>
    </w:p>
    <w:p w14:paraId="174E0ACB" w14:textId="77777777" w:rsidR="00363C74" w:rsidRDefault="00517105">
      <w:pPr>
        <w:numPr>
          <w:ilvl w:val="0"/>
          <w:numId w:val="2"/>
        </w:numPr>
        <w:jc w:val="both"/>
        <w:outlineLvl w:val="0"/>
        <w:rPr>
          <w:rStyle w:val="Strong"/>
          <w:szCs w:val="24"/>
          <w:u w:val="single"/>
          <w:lang w:val="en-GB"/>
        </w:rPr>
      </w:pPr>
      <w:r>
        <w:rPr>
          <w:rStyle w:val="Strong"/>
          <w:szCs w:val="24"/>
          <w:u w:val="single"/>
          <w:lang w:val="en-GB"/>
        </w:rPr>
        <w:t>Buyer</w:t>
      </w:r>
    </w:p>
    <w:p w14:paraId="426B8913" w14:textId="287D3C85" w:rsidR="00363C74" w:rsidRDefault="00517105">
      <w:pPr>
        <w:rPr>
          <w:rStyle w:val="Strong"/>
          <w:b w:val="0"/>
          <w:szCs w:val="24"/>
          <w:lang w:val="en-GB"/>
        </w:rPr>
      </w:pPr>
      <w:r>
        <w:rPr>
          <w:rStyle w:val="Strong"/>
          <w:lang w:val="en-GB"/>
        </w:rPr>
        <w:t xml:space="preserve">Official name: </w:t>
      </w:r>
      <w:r w:rsidR="00842063">
        <w:rPr>
          <w:rStyle w:val="Strong"/>
          <w:lang w:val="en-GB"/>
        </w:rPr>
        <w:t xml:space="preserve">Culture centre </w:t>
      </w:r>
      <w:proofErr w:type="spellStart"/>
      <w:r w:rsidR="00842063">
        <w:rPr>
          <w:rStyle w:val="Strong"/>
          <w:lang w:val="en-GB"/>
        </w:rPr>
        <w:t>Pirot</w:t>
      </w:r>
      <w:proofErr w:type="spellEnd"/>
      <w:r w:rsidR="00842063">
        <w:rPr>
          <w:rStyle w:val="Strong"/>
          <w:lang w:val="en-GB"/>
        </w:rPr>
        <w:t xml:space="preserve"> (DOM KULTURE PIROT)</w:t>
      </w:r>
      <w:r>
        <w:rPr>
          <w:rStyle w:val="Strong"/>
          <w:lang w:val="en-GB"/>
        </w:rPr>
        <w:br/>
        <w:t xml:space="preserve">Legal </w:t>
      </w:r>
      <w:r w:rsidRPr="004967B7">
        <w:rPr>
          <w:rStyle w:val="Strong"/>
          <w:lang w:val="en-GB"/>
        </w:rPr>
        <w:t xml:space="preserve">type: </w:t>
      </w:r>
      <w:r w:rsidR="00842063" w:rsidRPr="004967B7">
        <w:rPr>
          <w:rStyle w:val="Strong"/>
          <w:snapToGrid w:val="0"/>
          <w:szCs w:val="24"/>
          <w:lang w:val="en-GB"/>
        </w:rPr>
        <w:t xml:space="preserve">public </w:t>
      </w:r>
      <w:proofErr w:type="spellStart"/>
      <w:r w:rsidR="00A374F8" w:rsidRPr="004967B7">
        <w:rPr>
          <w:rStyle w:val="Strong"/>
          <w:snapToGrid w:val="0"/>
          <w:szCs w:val="24"/>
          <w:lang w:val="en-GB"/>
        </w:rPr>
        <w:t>instition</w:t>
      </w:r>
      <w:proofErr w:type="spellEnd"/>
      <w:r w:rsidR="00A374F8" w:rsidRPr="004967B7">
        <w:rPr>
          <w:rStyle w:val="Strong"/>
          <w:snapToGrid w:val="0"/>
          <w:szCs w:val="24"/>
          <w:lang w:val="en-GB"/>
        </w:rPr>
        <w:t xml:space="preserve"> </w:t>
      </w:r>
      <w:r w:rsidRPr="004967B7">
        <w:rPr>
          <w:rStyle w:val="Strong"/>
          <w:lang w:val="en-GB"/>
        </w:rPr>
        <w:br/>
        <w:t xml:space="preserve">Activity of the contracting authority: </w:t>
      </w:r>
      <w:proofErr w:type="spellStart"/>
      <w:r w:rsidR="00A374F8" w:rsidRPr="004967B7">
        <w:t>planing</w:t>
      </w:r>
      <w:proofErr w:type="spellEnd"/>
      <w:r w:rsidR="00A374F8" w:rsidRPr="004967B7">
        <w:t xml:space="preserve"> , organization and</w:t>
      </w:r>
      <w:r w:rsidR="00A374F8">
        <w:t xml:space="preserve"> implementation  cultural, artistic, and educational programs for the public in local community</w:t>
      </w:r>
    </w:p>
    <w:p w14:paraId="32768245" w14:textId="77777777" w:rsidR="00363C74" w:rsidRDefault="00517105">
      <w:pPr>
        <w:rPr>
          <w:rStyle w:val="Strong"/>
          <w:b w:val="0"/>
          <w:bCs/>
          <w:szCs w:val="24"/>
          <w:highlight w:val="yellow"/>
          <w:lang w:val="en-GB"/>
        </w:rPr>
      </w:pPr>
      <w:r>
        <w:rPr>
          <w:rStyle w:val="Strong"/>
          <w:lang w:val="en-GB"/>
        </w:rPr>
        <w:t>.</w:t>
      </w:r>
    </w:p>
    <w:p w14:paraId="0770637E" w14:textId="77777777" w:rsidR="00363C74" w:rsidRDefault="00517105">
      <w:pPr>
        <w:numPr>
          <w:ilvl w:val="1"/>
          <w:numId w:val="2"/>
        </w:numPr>
        <w:jc w:val="both"/>
        <w:outlineLvl w:val="0"/>
        <w:rPr>
          <w:rStyle w:val="Strong"/>
          <w:b w:val="0"/>
          <w:szCs w:val="24"/>
          <w:lang w:val="en-GB"/>
        </w:rPr>
      </w:pPr>
      <w:r>
        <w:rPr>
          <w:rStyle w:val="Strong"/>
          <w:szCs w:val="24"/>
          <w:lang w:val="en-GB"/>
        </w:rPr>
        <w:t>Procedure</w:t>
      </w:r>
    </w:p>
    <w:p w14:paraId="7B83A09D" w14:textId="77777777" w:rsidR="00842063" w:rsidRDefault="00517105" w:rsidP="00842063">
      <w:pPr>
        <w:spacing w:after="240"/>
        <w:rPr>
          <w:b/>
          <w:bCs/>
          <w:sz w:val="22"/>
          <w:szCs w:val="22"/>
          <w:lang w:val="de-DE"/>
        </w:rPr>
      </w:pPr>
      <w:r>
        <w:rPr>
          <w:i/>
          <w:iCs/>
          <w:szCs w:val="24"/>
          <w:lang w:val="en-GB"/>
        </w:rPr>
        <w:t>Title:</w:t>
      </w:r>
      <w:r>
        <w:rPr>
          <w:rStyle w:val="Strong"/>
          <w:b w:val="0"/>
          <w:szCs w:val="24"/>
          <w:lang w:val="en-GB"/>
        </w:rPr>
        <w:t xml:space="preserve">  </w:t>
      </w:r>
      <w:bookmarkStart w:id="0" w:name="_Hlk217137082"/>
      <w:r w:rsidR="00842063">
        <w:rPr>
          <w:b/>
          <w:sz w:val="22"/>
          <w:szCs w:val="22"/>
        </w:rPr>
        <w:t xml:space="preserve">” </w:t>
      </w:r>
      <w:r w:rsidR="00842063" w:rsidRPr="000420FE">
        <w:rPr>
          <w:b/>
          <w:bCs/>
          <w:sz w:val="22"/>
          <w:szCs w:val="22"/>
          <w:lang w:val="de-DE"/>
        </w:rPr>
        <w:t>Establishment of the touristic and educational centre Temsko</w:t>
      </w:r>
      <w:r w:rsidR="00842063">
        <w:rPr>
          <w:b/>
          <w:bCs/>
          <w:sz w:val="22"/>
          <w:szCs w:val="22"/>
          <w:lang w:val="de-DE"/>
        </w:rPr>
        <w:t>“</w:t>
      </w:r>
    </w:p>
    <w:p w14:paraId="5F79AA09" w14:textId="14F96D54" w:rsidR="0027529C" w:rsidRPr="0027529C" w:rsidRDefault="0027529C" w:rsidP="0027529C">
      <w:pPr>
        <w:jc w:val="both"/>
        <w:outlineLvl w:val="0"/>
        <w:rPr>
          <w:rStyle w:val="Emphasis"/>
          <w:i w:val="0"/>
          <w:szCs w:val="24"/>
          <w:lang w:val="en-GB"/>
        </w:rPr>
      </w:pPr>
      <w:r w:rsidRPr="0027529C">
        <w:rPr>
          <w:rStyle w:val="Emphasis"/>
          <w:i w:val="0"/>
          <w:szCs w:val="24"/>
          <w:lang w:val="en-GB"/>
        </w:rPr>
        <w:t>.</w:t>
      </w:r>
      <w:r>
        <w:rPr>
          <w:rStyle w:val="Emphasis"/>
          <w:i w:val="0"/>
          <w:szCs w:val="24"/>
          <w:lang w:val="en-GB"/>
        </w:rPr>
        <w:t xml:space="preserve"> </w:t>
      </w:r>
      <w:r>
        <w:t xml:space="preserve">The subject of the reconstruction is a former school building, which represents an immovable cultural asset under state protection and falls under the jurisdiction of the Institute for the Protection of Cultural Monuments in </w:t>
      </w:r>
      <w:proofErr w:type="spellStart"/>
      <w:r>
        <w:t>Niš</w:t>
      </w:r>
      <w:proofErr w:type="spellEnd"/>
      <w:r>
        <w:t>(</w:t>
      </w:r>
      <w:r w:rsidRPr="0027529C">
        <w:rPr>
          <w:rStyle w:val="Emphasis"/>
          <w:i w:val="0"/>
          <w:szCs w:val="24"/>
          <w:lang w:val="en-GB"/>
        </w:rPr>
        <w:t xml:space="preserve"> plots 8507/1, 8507/2</w:t>
      </w:r>
      <w:r>
        <w:rPr>
          <w:rStyle w:val="Emphasis"/>
          <w:i w:val="0"/>
          <w:szCs w:val="24"/>
          <w:lang w:val="en-GB"/>
        </w:rPr>
        <w:t>)</w:t>
      </w:r>
    </w:p>
    <w:p w14:paraId="597CFF13" w14:textId="77777777" w:rsidR="0027529C" w:rsidRPr="0027529C" w:rsidRDefault="0027529C" w:rsidP="0027529C">
      <w:pPr>
        <w:jc w:val="both"/>
        <w:outlineLvl w:val="0"/>
        <w:rPr>
          <w:rStyle w:val="Emphasis"/>
          <w:i w:val="0"/>
          <w:szCs w:val="24"/>
          <w:lang w:val="en-GB"/>
        </w:rPr>
      </w:pPr>
    </w:p>
    <w:p w14:paraId="2B5253A5" w14:textId="77777777" w:rsidR="0027529C" w:rsidRPr="0027529C" w:rsidRDefault="0027529C" w:rsidP="0027529C">
      <w:pPr>
        <w:jc w:val="both"/>
        <w:outlineLvl w:val="0"/>
        <w:rPr>
          <w:rStyle w:val="Emphasis"/>
          <w:i w:val="0"/>
          <w:szCs w:val="24"/>
          <w:lang w:val="en-GB"/>
        </w:rPr>
      </w:pPr>
      <w:r w:rsidRPr="0027529C">
        <w:rPr>
          <w:rStyle w:val="Emphasis"/>
          <w:i w:val="0"/>
          <w:szCs w:val="24"/>
          <w:lang w:val="en-GB"/>
        </w:rPr>
        <w:t>According to the real estate cadastre, the object covered by the project assignment is registered as:</w:t>
      </w:r>
    </w:p>
    <w:p w14:paraId="105FAF52" w14:textId="77777777" w:rsidR="0027529C" w:rsidRPr="0027529C" w:rsidRDefault="0027529C" w:rsidP="0027529C">
      <w:pPr>
        <w:jc w:val="both"/>
        <w:outlineLvl w:val="0"/>
        <w:rPr>
          <w:rStyle w:val="Emphasis"/>
          <w:i w:val="0"/>
          <w:szCs w:val="24"/>
          <w:lang w:val="en-GB"/>
        </w:rPr>
      </w:pPr>
    </w:p>
    <w:p w14:paraId="41D5901D" w14:textId="77777777" w:rsidR="0027529C" w:rsidRPr="0027529C" w:rsidRDefault="0027529C" w:rsidP="0027529C">
      <w:pPr>
        <w:jc w:val="both"/>
        <w:outlineLvl w:val="0"/>
        <w:rPr>
          <w:rStyle w:val="Emphasis"/>
          <w:i w:val="0"/>
          <w:szCs w:val="24"/>
          <w:lang w:val="en-GB"/>
        </w:rPr>
      </w:pPr>
      <w:r w:rsidRPr="0027529C">
        <w:rPr>
          <w:rStyle w:val="Emphasis"/>
          <w:i w:val="0"/>
          <w:szCs w:val="24"/>
          <w:lang w:val="en-GB"/>
        </w:rPr>
        <w:t xml:space="preserve">- object no. 1 on cadastral plot no. 8507/2 of the </w:t>
      </w:r>
      <w:proofErr w:type="spellStart"/>
      <w:r w:rsidRPr="0027529C">
        <w:rPr>
          <w:rStyle w:val="Emphasis"/>
          <w:i w:val="0"/>
          <w:szCs w:val="24"/>
          <w:lang w:val="en-GB"/>
        </w:rPr>
        <w:t>Temska</w:t>
      </w:r>
      <w:proofErr w:type="spellEnd"/>
      <w:r w:rsidRPr="0027529C">
        <w:rPr>
          <w:rStyle w:val="Emphasis"/>
          <w:i w:val="0"/>
          <w:szCs w:val="24"/>
          <w:lang w:val="en-GB"/>
        </w:rPr>
        <w:t xml:space="preserve"> administrative district - Business building for which no activity has been determined - built before the adoption of regulations on the construction of objects</w:t>
      </w:r>
    </w:p>
    <w:p w14:paraId="390692A2" w14:textId="77777777" w:rsidR="0027529C" w:rsidRPr="0027529C" w:rsidRDefault="0027529C" w:rsidP="0027529C">
      <w:pPr>
        <w:jc w:val="both"/>
        <w:outlineLvl w:val="0"/>
        <w:rPr>
          <w:rStyle w:val="Emphasis"/>
          <w:i w:val="0"/>
          <w:szCs w:val="24"/>
          <w:lang w:val="en-GB"/>
        </w:rPr>
      </w:pPr>
    </w:p>
    <w:p w14:paraId="4C34327C" w14:textId="3FE3E8B0" w:rsidR="0027529C" w:rsidRPr="0027529C" w:rsidRDefault="0027529C" w:rsidP="0027529C">
      <w:pPr>
        <w:jc w:val="both"/>
        <w:outlineLvl w:val="0"/>
        <w:rPr>
          <w:rStyle w:val="Emphasis"/>
          <w:i w:val="0"/>
          <w:szCs w:val="24"/>
          <w:lang w:val="en-GB"/>
        </w:rPr>
      </w:pPr>
      <w:r w:rsidRPr="0027529C">
        <w:rPr>
          <w:rStyle w:val="Emphasis"/>
          <w:i w:val="0"/>
          <w:szCs w:val="24"/>
          <w:lang w:val="en-GB"/>
        </w:rPr>
        <w:t>The basic idea of ​​​​building an educational and tourist camp is to create the necessary conditions for organizing educational programs in an undisturbed natural environment and developing the necessary infrastructure of the settlement for marketing the tourist offer of the region. The programs held would be intended for all ages and topics of particular importance for the development of the social and democratic potential of the individual and society.</w:t>
      </w:r>
    </w:p>
    <w:p w14:paraId="01EFF197" w14:textId="0A384153" w:rsidR="00621CF5" w:rsidRPr="00621CF5" w:rsidRDefault="00621CF5" w:rsidP="00621CF5">
      <w:pPr>
        <w:jc w:val="both"/>
        <w:outlineLvl w:val="0"/>
        <w:rPr>
          <w:rStyle w:val="Emphasis"/>
          <w:i w:val="0"/>
          <w:szCs w:val="24"/>
          <w:lang w:val="en-GB"/>
        </w:rPr>
      </w:pPr>
      <w:r>
        <w:rPr>
          <w:rStyle w:val="Emphasis"/>
          <w:i w:val="0"/>
          <w:szCs w:val="24"/>
          <w:lang w:val="en-GB"/>
        </w:rPr>
        <w:t xml:space="preserve"> Reconstruction works will includes:  1 </w:t>
      </w:r>
      <w:r w:rsidR="006818EA">
        <w:rPr>
          <w:rStyle w:val="Emphasis"/>
          <w:i w:val="0"/>
          <w:szCs w:val="24"/>
          <w:lang w:val="en-GB"/>
        </w:rPr>
        <w:t>Architectural</w:t>
      </w:r>
      <w:r>
        <w:rPr>
          <w:rStyle w:val="Emphasis"/>
          <w:i w:val="0"/>
          <w:szCs w:val="24"/>
          <w:lang w:val="en-GB"/>
        </w:rPr>
        <w:t xml:space="preserve"> construction works </w:t>
      </w:r>
      <w:r w:rsidRPr="00621CF5">
        <w:rPr>
          <w:rStyle w:val="Emphasis"/>
          <w:i w:val="0"/>
          <w:szCs w:val="24"/>
          <w:lang w:val="en-GB"/>
        </w:rPr>
        <w:t xml:space="preserve">2. </w:t>
      </w:r>
      <w:r>
        <w:rPr>
          <w:rStyle w:val="Emphasis"/>
          <w:i w:val="0"/>
          <w:szCs w:val="24"/>
          <w:lang w:val="en-GB"/>
        </w:rPr>
        <w:t xml:space="preserve">Hydrotechnical installation  3. Electrical installations 4. </w:t>
      </w:r>
      <w:r w:rsidR="006818EA">
        <w:rPr>
          <w:rStyle w:val="Emphasis"/>
          <w:i w:val="0"/>
          <w:szCs w:val="24"/>
          <w:lang w:val="en-GB"/>
        </w:rPr>
        <w:t>Telecommunication</w:t>
      </w:r>
      <w:r>
        <w:rPr>
          <w:rStyle w:val="Emphasis"/>
          <w:i w:val="0"/>
          <w:szCs w:val="24"/>
          <w:lang w:val="en-GB"/>
        </w:rPr>
        <w:t xml:space="preserve"> and signal </w:t>
      </w:r>
      <w:r w:rsidR="006818EA">
        <w:rPr>
          <w:rStyle w:val="Emphasis"/>
          <w:i w:val="0"/>
          <w:szCs w:val="24"/>
          <w:lang w:val="en-GB"/>
        </w:rPr>
        <w:t>installations</w:t>
      </w:r>
      <w:r>
        <w:rPr>
          <w:rStyle w:val="Emphasis"/>
          <w:i w:val="0"/>
          <w:szCs w:val="24"/>
          <w:lang w:val="en-GB"/>
        </w:rPr>
        <w:t>, 5. Stable detection s</w:t>
      </w:r>
      <w:r w:rsidR="004967B7">
        <w:rPr>
          <w:rStyle w:val="Emphasis"/>
          <w:i w:val="0"/>
          <w:szCs w:val="24"/>
          <w:lang w:val="en-GB"/>
        </w:rPr>
        <w:t>y</w:t>
      </w:r>
      <w:r>
        <w:rPr>
          <w:rStyle w:val="Emphasis"/>
          <w:i w:val="0"/>
          <w:szCs w:val="24"/>
          <w:lang w:val="en-GB"/>
        </w:rPr>
        <w:t>stem and fire alarm 6 Main fire protection</w:t>
      </w:r>
    </w:p>
    <w:p w14:paraId="4C0FDE94" w14:textId="77777777" w:rsidR="0027529C" w:rsidRPr="0027529C" w:rsidRDefault="0027529C" w:rsidP="0027529C">
      <w:pPr>
        <w:jc w:val="both"/>
        <w:outlineLvl w:val="0"/>
        <w:rPr>
          <w:rStyle w:val="Emphasis"/>
          <w:i w:val="0"/>
          <w:szCs w:val="24"/>
          <w:lang w:val="en-GB"/>
        </w:rPr>
      </w:pPr>
      <w:r w:rsidRPr="0027529C">
        <w:rPr>
          <w:rStyle w:val="Emphasis"/>
          <w:i w:val="0"/>
          <w:szCs w:val="24"/>
          <w:lang w:val="en-GB"/>
        </w:rPr>
        <w:t xml:space="preserve">The location of the camp is ideal because it is located on the slopes of Stara Planina Mountain and only 15km from the town of </w:t>
      </w:r>
      <w:proofErr w:type="spellStart"/>
      <w:r w:rsidRPr="0027529C">
        <w:rPr>
          <w:rStyle w:val="Emphasis"/>
          <w:i w:val="0"/>
          <w:szCs w:val="24"/>
          <w:lang w:val="en-GB"/>
        </w:rPr>
        <w:t>Pirot</w:t>
      </w:r>
      <w:proofErr w:type="spellEnd"/>
      <w:r w:rsidRPr="0027529C">
        <w:rPr>
          <w:rStyle w:val="Emphasis"/>
          <w:i w:val="0"/>
          <w:szCs w:val="24"/>
          <w:lang w:val="en-GB"/>
        </w:rPr>
        <w:t xml:space="preserve"> and can be a starting point for visiting nearby tourist sites. In the vicinity of the village of </w:t>
      </w:r>
      <w:proofErr w:type="spellStart"/>
      <w:r w:rsidRPr="0027529C">
        <w:rPr>
          <w:rStyle w:val="Emphasis"/>
          <w:i w:val="0"/>
          <w:szCs w:val="24"/>
          <w:lang w:val="en-GB"/>
        </w:rPr>
        <w:t>Temska</w:t>
      </w:r>
      <w:proofErr w:type="spellEnd"/>
      <w:r w:rsidRPr="0027529C">
        <w:rPr>
          <w:rStyle w:val="Emphasis"/>
          <w:i w:val="0"/>
          <w:szCs w:val="24"/>
          <w:lang w:val="en-GB"/>
        </w:rPr>
        <w:t xml:space="preserve"> there are traces of a settlement from the Roman era, as well as a medieval fortress and the monastery of Sveti </w:t>
      </w:r>
      <w:proofErr w:type="spellStart"/>
      <w:r w:rsidRPr="0027529C">
        <w:rPr>
          <w:rStyle w:val="Emphasis"/>
          <w:i w:val="0"/>
          <w:szCs w:val="24"/>
          <w:lang w:val="en-GB"/>
        </w:rPr>
        <w:t>Đorđe</w:t>
      </w:r>
      <w:proofErr w:type="spellEnd"/>
      <w:r w:rsidRPr="0027529C">
        <w:rPr>
          <w:rStyle w:val="Emphasis"/>
          <w:i w:val="0"/>
          <w:szCs w:val="24"/>
          <w:lang w:val="en-GB"/>
        </w:rPr>
        <w:t xml:space="preserve"> from the 14th century, popularly known as the “</w:t>
      </w:r>
      <w:proofErr w:type="spellStart"/>
      <w:r w:rsidRPr="0027529C">
        <w:rPr>
          <w:rStyle w:val="Emphasis"/>
          <w:i w:val="0"/>
          <w:szCs w:val="24"/>
          <w:lang w:val="en-GB"/>
        </w:rPr>
        <w:t>Temački</w:t>
      </w:r>
      <w:proofErr w:type="spellEnd"/>
      <w:r w:rsidRPr="0027529C">
        <w:rPr>
          <w:rStyle w:val="Emphasis"/>
          <w:i w:val="0"/>
          <w:szCs w:val="24"/>
          <w:lang w:val="en-GB"/>
        </w:rPr>
        <w:t xml:space="preserve"> </w:t>
      </w:r>
      <w:proofErr w:type="spellStart"/>
      <w:r w:rsidRPr="0027529C">
        <w:rPr>
          <w:rStyle w:val="Emphasis"/>
          <w:i w:val="0"/>
          <w:szCs w:val="24"/>
          <w:lang w:val="en-GB"/>
        </w:rPr>
        <w:t>manastir</w:t>
      </w:r>
      <w:proofErr w:type="spellEnd"/>
      <w:r w:rsidRPr="0027529C">
        <w:rPr>
          <w:rStyle w:val="Emphasis"/>
          <w:i w:val="0"/>
          <w:szCs w:val="24"/>
          <w:lang w:val="en-GB"/>
        </w:rPr>
        <w:t>”. In the village itself there is a picnic area “Krivi vir” and in the immediate vicinity there is a waterfall “</w:t>
      </w:r>
      <w:proofErr w:type="spellStart"/>
      <w:r w:rsidRPr="0027529C">
        <w:rPr>
          <w:rStyle w:val="Emphasis"/>
          <w:i w:val="0"/>
          <w:szCs w:val="24"/>
          <w:lang w:val="en-GB"/>
        </w:rPr>
        <w:t>Bukovicki</w:t>
      </w:r>
      <w:proofErr w:type="spellEnd"/>
      <w:r w:rsidRPr="0027529C">
        <w:rPr>
          <w:rStyle w:val="Emphasis"/>
          <w:i w:val="0"/>
          <w:szCs w:val="24"/>
          <w:lang w:val="en-GB"/>
        </w:rPr>
        <w:t xml:space="preserve"> dol”, a lookout point “Tumba” and a resort of the </w:t>
      </w:r>
      <w:proofErr w:type="spellStart"/>
      <w:r w:rsidRPr="0027529C">
        <w:rPr>
          <w:rStyle w:val="Emphasis"/>
          <w:i w:val="0"/>
          <w:szCs w:val="24"/>
          <w:lang w:val="en-GB"/>
        </w:rPr>
        <w:t>Temac</w:t>
      </w:r>
      <w:proofErr w:type="spellEnd"/>
      <w:r w:rsidRPr="0027529C">
        <w:rPr>
          <w:rStyle w:val="Emphasis"/>
          <w:i w:val="0"/>
          <w:szCs w:val="24"/>
          <w:lang w:val="en-GB"/>
        </w:rPr>
        <w:t xml:space="preserve"> hydroelectric power plant.</w:t>
      </w:r>
    </w:p>
    <w:p w14:paraId="17DAA524" w14:textId="77777777" w:rsidR="0027529C" w:rsidRPr="0027529C" w:rsidRDefault="0027529C" w:rsidP="0027529C">
      <w:pPr>
        <w:jc w:val="both"/>
        <w:outlineLvl w:val="0"/>
        <w:rPr>
          <w:rStyle w:val="Emphasis"/>
          <w:i w:val="0"/>
          <w:szCs w:val="24"/>
          <w:lang w:val="en-GB"/>
        </w:rPr>
      </w:pPr>
    </w:p>
    <w:p w14:paraId="2E00A110" w14:textId="39FE1398" w:rsidR="000F0606" w:rsidRDefault="0027529C" w:rsidP="0027529C">
      <w:pPr>
        <w:jc w:val="both"/>
        <w:outlineLvl w:val="0"/>
        <w:rPr>
          <w:rStyle w:val="Emphasis"/>
          <w:i w:val="0"/>
          <w:szCs w:val="24"/>
          <w:lang w:val="en-GB"/>
        </w:rPr>
      </w:pPr>
      <w:r w:rsidRPr="0027529C">
        <w:rPr>
          <w:rStyle w:val="Emphasis"/>
          <w:i w:val="0"/>
          <w:szCs w:val="24"/>
          <w:lang w:val="en-GB"/>
        </w:rPr>
        <w:t>The camp construction project will involve intervention within the built-up areas, while the reconstruction will simultaneously enable better functioning of the space, protection and revitalization of the village itself.</w:t>
      </w:r>
    </w:p>
    <w:bookmarkEnd w:id="0"/>
    <w:p w14:paraId="4BBFD20C" w14:textId="77777777" w:rsidR="00363C74" w:rsidRDefault="00363C74">
      <w:pPr>
        <w:jc w:val="both"/>
        <w:rPr>
          <w:rStyle w:val="Emphasis"/>
          <w:i w:val="0"/>
          <w:szCs w:val="24"/>
          <w:lang w:val="en-GB"/>
        </w:rPr>
      </w:pPr>
    </w:p>
    <w:p w14:paraId="18EA0568" w14:textId="77777777" w:rsidR="00363C74" w:rsidRDefault="00517105">
      <w:pPr>
        <w:jc w:val="both"/>
      </w:pPr>
      <w:r>
        <w:rPr>
          <w:rStyle w:val="Strong"/>
          <w:b w:val="0"/>
          <w:i/>
          <w:iCs/>
          <w:szCs w:val="24"/>
          <w:lang w:val="en-GB"/>
        </w:rPr>
        <w:t>Type of procedure:</w:t>
      </w:r>
      <w:r>
        <w:rPr>
          <w:rStyle w:val="Strong"/>
          <w:b w:val="0"/>
          <w:szCs w:val="24"/>
          <w:lang w:val="en-GB"/>
        </w:rPr>
        <w:t xml:space="preserve"> Open</w:t>
      </w:r>
      <w:bookmarkStart w:id="1" w:name="_Hlk160464738"/>
      <w:bookmarkEnd w:id="1"/>
    </w:p>
    <w:p w14:paraId="64DE2199" w14:textId="77777777" w:rsidR="00363C74" w:rsidRDefault="00517105">
      <w:pPr>
        <w:numPr>
          <w:ilvl w:val="2"/>
          <w:numId w:val="2"/>
        </w:numPr>
        <w:jc w:val="both"/>
      </w:pPr>
      <w:r>
        <w:rPr>
          <w:rStyle w:val="Strong"/>
          <w:bCs/>
          <w:szCs w:val="24"/>
          <w:lang w:val="en-GB"/>
        </w:rPr>
        <w:t xml:space="preserve"> Purpose</w:t>
      </w:r>
    </w:p>
    <w:p w14:paraId="38BBDAFA" w14:textId="77777777" w:rsidR="00363C74" w:rsidRDefault="00517105">
      <w:pPr>
        <w:jc w:val="both"/>
      </w:pPr>
      <w:r>
        <w:rPr>
          <w:rStyle w:val="Strong"/>
          <w:b w:val="0"/>
          <w:i/>
          <w:iCs/>
          <w:szCs w:val="24"/>
          <w:lang w:val="en-GB"/>
        </w:rPr>
        <w:t>Nature of the contract:</w:t>
      </w:r>
      <w:r>
        <w:rPr>
          <w:rStyle w:val="Emphasis"/>
          <w:i w:val="0"/>
          <w:szCs w:val="24"/>
          <w:lang w:val="en-GB"/>
        </w:rPr>
        <w:t xml:space="preserve"> Works</w:t>
      </w:r>
    </w:p>
    <w:p w14:paraId="19CC6DFB" w14:textId="1393B920" w:rsidR="00363C74" w:rsidRDefault="00517105">
      <w:pPr>
        <w:jc w:val="both"/>
      </w:pPr>
      <w:r>
        <w:rPr>
          <w:rStyle w:val="Emphasis"/>
          <w:iCs/>
          <w:szCs w:val="24"/>
          <w:lang w:val="en-GB"/>
        </w:rPr>
        <w:t>Main classification</w:t>
      </w:r>
      <w:r>
        <w:rPr>
          <w:rStyle w:val="Emphasis"/>
          <w:i w:val="0"/>
          <w:szCs w:val="24"/>
          <w:lang w:val="en-GB"/>
        </w:rPr>
        <w:t xml:space="preserve"> (</w:t>
      </w:r>
      <w:r>
        <w:rPr>
          <w:rStyle w:val="Strong"/>
          <w:szCs w:val="24"/>
          <w:u w:val="single"/>
          <w:lang w:val="en-GB"/>
        </w:rPr>
        <w:t>CPV</w:t>
      </w:r>
      <w:r>
        <w:rPr>
          <w:rStyle w:val="FootnoteAnchor"/>
          <w:b/>
          <w:szCs w:val="24"/>
          <w:u w:val="single"/>
          <w:lang w:val="en-GB"/>
        </w:rPr>
        <w:footnoteReference w:id="1"/>
      </w:r>
      <w:r>
        <w:rPr>
          <w:rStyle w:val="Strong"/>
          <w:szCs w:val="24"/>
          <w:u w:val="single"/>
          <w:lang w:val="en-GB"/>
        </w:rPr>
        <w:t xml:space="preserve"> code)</w:t>
      </w:r>
      <w:r>
        <w:rPr>
          <w:rStyle w:val="Strong"/>
          <w:b w:val="0"/>
          <w:szCs w:val="24"/>
          <w:lang w:val="en-GB"/>
        </w:rPr>
        <w:t>: 45</w:t>
      </w:r>
      <w:bookmarkStart w:id="2" w:name="_Hlk213062879"/>
      <w:bookmarkEnd w:id="2"/>
      <w:r w:rsidR="00A374F8">
        <w:rPr>
          <w:rStyle w:val="Strong"/>
          <w:b w:val="0"/>
          <w:szCs w:val="24"/>
          <w:lang w:val="en-GB"/>
        </w:rPr>
        <w:t xml:space="preserve">454000-4 </w:t>
      </w:r>
    </w:p>
    <w:p w14:paraId="52A402C2" w14:textId="44B504FC" w:rsidR="00363C74" w:rsidRDefault="00517105">
      <w:pPr>
        <w:jc w:val="both"/>
      </w:pPr>
      <w:r>
        <w:rPr>
          <w:rStyle w:val="Strong"/>
          <w:b w:val="0"/>
          <w:i/>
          <w:iCs/>
          <w:szCs w:val="24"/>
          <w:lang w:val="en-GB"/>
        </w:rPr>
        <w:t>Additional classification</w:t>
      </w:r>
      <w:r>
        <w:rPr>
          <w:rStyle w:val="Strong"/>
          <w:b w:val="0"/>
          <w:szCs w:val="24"/>
          <w:lang w:val="en-GB"/>
        </w:rPr>
        <w:t xml:space="preserve"> (CPV code</w:t>
      </w:r>
      <w:r>
        <w:rPr>
          <w:rStyle w:val="FootnoteAnchor"/>
          <w:szCs w:val="24"/>
          <w:lang w:val="en-GB"/>
        </w:rPr>
        <w:footnoteReference w:id="2"/>
      </w:r>
      <w:r>
        <w:rPr>
          <w:rStyle w:val="Strong"/>
          <w:b w:val="0"/>
          <w:szCs w:val="24"/>
          <w:lang w:val="en-GB"/>
        </w:rPr>
        <w:t>) -</w:t>
      </w:r>
      <w:r w:rsidR="00A374F8">
        <w:t>45214300-3</w:t>
      </w:r>
    </w:p>
    <w:p w14:paraId="790ABEBD" w14:textId="77777777" w:rsidR="00363C74" w:rsidRPr="00545F73" w:rsidRDefault="00517105">
      <w:pPr>
        <w:numPr>
          <w:ilvl w:val="2"/>
          <w:numId w:val="3"/>
        </w:numPr>
        <w:jc w:val="both"/>
        <w:rPr>
          <w:rStyle w:val="Strong"/>
          <w:szCs w:val="24"/>
          <w:u w:val="single"/>
          <w:lang w:val="en-GB"/>
        </w:rPr>
      </w:pPr>
      <w:r w:rsidRPr="00545F73">
        <w:rPr>
          <w:rStyle w:val="Strong"/>
          <w:bCs/>
          <w:szCs w:val="24"/>
          <w:lang w:val="en-GB"/>
        </w:rPr>
        <w:t xml:space="preserve">Estimated total value </w:t>
      </w:r>
    </w:p>
    <w:p w14:paraId="2C4458F0" w14:textId="77777777" w:rsidR="00363C74" w:rsidRPr="00545F73" w:rsidRDefault="00517105">
      <w:pPr>
        <w:jc w:val="both"/>
        <w:outlineLvl w:val="0"/>
        <w:rPr>
          <w:szCs w:val="24"/>
          <w:lang w:val="en-GB"/>
        </w:rPr>
      </w:pPr>
      <w:r w:rsidRPr="00545F73">
        <w:rPr>
          <w:szCs w:val="24"/>
          <w:lang w:val="en-GB"/>
        </w:rPr>
        <w:t xml:space="preserve">Not applicable </w:t>
      </w:r>
    </w:p>
    <w:p w14:paraId="5514C7D4" w14:textId="77777777" w:rsidR="00363C74" w:rsidRDefault="00517105">
      <w:pPr>
        <w:numPr>
          <w:ilvl w:val="2"/>
          <w:numId w:val="3"/>
        </w:numPr>
        <w:jc w:val="both"/>
        <w:rPr>
          <w:rStyle w:val="Strong"/>
          <w:bCs/>
          <w:szCs w:val="24"/>
          <w:lang w:val="en-GB"/>
        </w:rPr>
      </w:pPr>
      <w:r>
        <w:rPr>
          <w:rStyle w:val="Strong"/>
          <w:bCs/>
          <w:szCs w:val="24"/>
          <w:lang w:val="en-GB"/>
        </w:rPr>
        <w:t>General information</w:t>
      </w:r>
    </w:p>
    <w:p w14:paraId="1942E549" w14:textId="77777777" w:rsidR="00363C74" w:rsidRDefault="00517105">
      <w:pPr>
        <w:jc w:val="both"/>
        <w:outlineLvl w:val="0"/>
        <w:rPr>
          <w:rStyle w:val="Strong"/>
          <w:b w:val="0"/>
          <w:bCs/>
          <w:szCs w:val="24"/>
          <w:lang w:val="en-GB"/>
        </w:rPr>
      </w:pPr>
      <w:r>
        <w:rPr>
          <w:rStyle w:val="Strong"/>
          <w:b w:val="0"/>
          <w:bCs/>
          <w:i/>
          <w:iCs/>
          <w:szCs w:val="24"/>
          <w:lang w:val="en-GB"/>
        </w:rPr>
        <w:t>Legal basis:</w:t>
      </w:r>
      <w:r>
        <w:rPr>
          <w:rStyle w:val="Strong"/>
          <w:b w:val="0"/>
          <w:bCs/>
          <w:szCs w:val="24"/>
          <w:lang w:val="en-GB"/>
        </w:rPr>
        <w:t xml:space="preserve"> </w:t>
      </w:r>
    </w:p>
    <w:p w14:paraId="3662F01F" w14:textId="77777777" w:rsidR="00363C74" w:rsidRDefault="00517105">
      <w:pPr>
        <w:jc w:val="both"/>
        <w:outlineLvl w:val="0"/>
        <w:rPr>
          <w:rStyle w:val="Strong"/>
          <w:b w:val="0"/>
          <w:bCs/>
          <w:szCs w:val="24"/>
          <w:lang w:val="en-GB"/>
        </w:rPr>
      </w:pPr>
      <w:r>
        <w:rPr>
          <w:rStyle w:val="Strong"/>
          <w:b w:val="0"/>
          <w:bCs/>
          <w:szCs w:val="24"/>
          <w:lang w:val="en-GB"/>
        </w:rPr>
        <w:t>Regulation (EU, Euratom) 2024/2509 of the European Parliament and of the Council of 23 September 2024 on the financial rules applicable to the general budget of the Union</w:t>
      </w:r>
      <w:r>
        <w:rPr>
          <w:rStyle w:val="FootnoteAnchor"/>
          <w:bCs/>
          <w:szCs w:val="24"/>
          <w:lang w:val="en-GB"/>
        </w:rPr>
        <w:footnoteReference w:id="3"/>
      </w:r>
      <w:r>
        <w:rPr>
          <w:rStyle w:val="Strong"/>
          <w:b w:val="0"/>
          <w:bCs/>
          <w:szCs w:val="24"/>
          <w:lang w:val="en-GB"/>
        </w:rPr>
        <w:t xml:space="preserve">. </w:t>
      </w:r>
    </w:p>
    <w:p w14:paraId="0CA29D7F" w14:textId="77777777" w:rsidR="00363C74" w:rsidRDefault="00517105">
      <w:pPr>
        <w:jc w:val="both"/>
        <w:outlineLvl w:val="0"/>
        <w:rPr>
          <w:bCs/>
          <w:szCs w:val="24"/>
          <w:lang w:val="en-GB"/>
        </w:rPr>
      </w:pPr>
      <w:r>
        <w:rPr>
          <w:bCs/>
          <w:szCs w:val="24"/>
          <w:lang w:val="en-GB"/>
        </w:rPr>
        <w:t>Local Law - Procurement award procedure applying to European Union external actions financed from the general budget of the European Union and the European Development Fund (EDF).</w:t>
      </w:r>
      <w:bookmarkStart w:id="3" w:name="_Hlk159863284"/>
      <w:bookmarkEnd w:id="3"/>
    </w:p>
    <w:p w14:paraId="5580C882" w14:textId="77777777" w:rsidR="00363C74" w:rsidRDefault="00517105">
      <w:pPr>
        <w:jc w:val="both"/>
        <w:outlineLvl w:val="0"/>
        <w:rPr>
          <w:b/>
          <w:bCs/>
          <w:szCs w:val="24"/>
          <w:lang w:val="en-GB"/>
        </w:rPr>
      </w:pPr>
      <w:r>
        <w:rPr>
          <w:b/>
          <w:bCs/>
          <w:szCs w:val="24"/>
          <w:lang w:val="en-GB"/>
        </w:rPr>
        <w:t>2.1.6.  Grounds for exclusion</w:t>
      </w:r>
    </w:p>
    <w:p w14:paraId="489905FB" w14:textId="22B8C3B4" w:rsidR="00363C74" w:rsidRDefault="00A374F8">
      <w:pPr>
        <w:jc w:val="both"/>
        <w:outlineLvl w:val="0"/>
        <w:rPr>
          <w:szCs w:val="24"/>
          <w:highlight w:val="yellow"/>
          <w:lang w:val="en-GB"/>
        </w:rPr>
      </w:pPr>
      <w:r>
        <w:rPr>
          <w:snapToGrid w:val="0"/>
          <w:szCs w:val="24"/>
          <w:lang w:val="en-GB"/>
        </w:rPr>
        <w:t>Please consult the procurement documents.</w:t>
      </w:r>
    </w:p>
    <w:p w14:paraId="31875776" w14:textId="77777777" w:rsidR="00363C74" w:rsidRDefault="00517105">
      <w:pPr>
        <w:keepNext/>
        <w:jc w:val="both"/>
        <w:outlineLvl w:val="0"/>
        <w:rPr>
          <w:b/>
          <w:bCs/>
          <w:szCs w:val="24"/>
          <w:u w:val="single"/>
          <w:lang w:val="en-GB"/>
        </w:rPr>
      </w:pPr>
      <w:r>
        <w:rPr>
          <w:b/>
          <w:bCs/>
          <w:szCs w:val="24"/>
          <w:u w:val="single"/>
          <w:lang w:val="en-GB"/>
        </w:rPr>
        <w:t>5. Lot</w:t>
      </w:r>
    </w:p>
    <w:p w14:paraId="30330536" w14:textId="77777777" w:rsidR="00363C74" w:rsidRDefault="00517105">
      <w:pPr>
        <w:jc w:val="both"/>
        <w:outlineLvl w:val="0"/>
        <w:rPr>
          <w:rStyle w:val="Strong"/>
          <w:b w:val="0"/>
          <w:szCs w:val="24"/>
          <w:lang w:val="en-GB"/>
        </w:rPr>
      </w:pPr>
      <w:r>
        <w:rPr>
          <w:rStyle w:val="Strong"/>
          <w:b w:val="0"/>
          <w:szCs w:val="24"/>
          <w:lang w:val="en-GB"/>
        </w:rPr>
        <w:t>This contract is divided into lots</w:t>
      </w:r>
      <w:r>
        <w:rPr>
          <w:rStyle w:val="Strong"/>
          <w:b w:val="0"/>
          <w:szCs w:val="24"/>
          <w:highlight w:val="lightGray"/>
          <w:lang w:val="en-GB"/>
        </w:rPr>
        <w:t>:</w:t>
      </w:r>
      <w:r w:rsidRPr="00D11A4E">
        <w:rPr>
          <w:rStyle w:val="Strong"/>
          <w:b w:val="0"/>
          <w:szCs w:val="24"/>
          <w:lang w:val="en-GB"/>
        </w:rPr>
        <w:t xml:space="preserve"> no</w:t>
      </w:r>
    </w:p>
    <w:p w14:paraId="305BBD10" w14:textId="77777777" w:rsidR="00363C74" w:rsidRDefault="00517105">
      <w:pPr>
        <w:jc w:val="both"/>
        <w:outlineLvl w:val="0"/>
        <w:rPr>
          <w:rStyle w:val="Strong"/>
          <w:bCs/>
          <w:szCs w:val="24"/>
          <w:lang w:val="en-GB"/>
        </w:rPr>
      </w:pPr>
      <w:r>
        <w:rPr>
          <w:rStyle w:val="Strong"/>
          <w:bCs/>
          <w:szCs w:val="24"/>
          <w:lang w:val="en-GB"/>
        </w:rPr>
        <w:t>5.1. Information per lot</w:t>
      </w:r>
    </w:p>
    <w:p w14:paraId="18150F31" w14:textId="4D72F872" w:rsidR="00122C4B" w:rsidRPr="00122C4B" w:rsidRDefault="00270464" w:rsidP="00122C4B">
      <w:pPr>
        <w:jc w:val="both"/>
        <w:rPr>
          <w:szCs w:val="24"/>
          <w:lang w:val="en-GB"/>
        </w:rPr>
      </w:pPr>
      <w:r>
        <w:rPr>
          <w:i/>
          <w:iCs/>
          <w:szCs w:val="24"/>
          <w:lang w:val="en-GB"/>
        </w:rPr>
        <w:t>N/A</w:t>
      </w:r>
    </w:p>
    <w:p w14:paraId="2F5F2690" w14:textId="2BCC59B7" w:rsidR="00363C74" w:rsidRDefault="00517105">
      <w:pPr>
        <w:jc w:val="both"/>
        <w:rPr>
          <w:b/>
          <w:szCs w:val="24"/>
          <w:lang w:val="en-GB"/>
        </w:rPr>
      </w:pPr>
      <w:r>
        <w:rPr>
          <w:b/>
          <w:szCs w:val="24"/>
          <w:lang w:val="en-GB"/>
        </w:rPr>
        <w:t>5.1.1. Purpose</w:t>
      </w:r>
    </w:p>
    <w:p w14:paraId="58014A52" w14:textId="77777777" w:rsidR="00270464" w:rsidRDefault="00270464">
      <w:pPr>
        <w:jc w:val="both"/>
        <w:outlineLvl w:val="0"/>
        <w:rPr>
          <w:rStyle w:val="Strong"/>
          <w:b w:val="0"/>
          <w:i/>
          <w:iCs/>
          <w:szCs w:val="24"/>
          <w:lang w:val="en-GB"/>
        </w:rPr>
      </w:pPr>
      <w:r>
        <w:rPr>
          <w:rStyle w:val="Strong"/>
          <w:b w:val="0"/>
          <w:i/>
          <w:iCs/>
          <w:szCs w:val="24"/>
          <w:lang w:val="en-GB"/>
        </w:rPr>
        <w:t>N/A</w:t>
      </w:r>
    </w:p>
    <w:p w14:paraId="666323A4" w14:textId="13705889" w:rsidR="00363C74" w:rsidRDefault="00517105">
      <w:pPr>
        <w:jc w:val="both"/>
        <w:outlineLvl w:val="0"/>
        <w:rPr>
          <w:b/>
          <w:szCs w:val="24"/>
          <w:lang w:val="en-GB"/>
        </w:rPr>
      </w:pPr>
      <w:r>
        <w:rPr>
          <w:b/>
          <w:szCs w:val="24"/>
          <w:lang w:val="en-GB"/>
        </w:rPr>
        <w:t>5.1.2. Place of performance</w:t>
      </w:r>
    </w:p>
    <w:p w14:paraId="045B49E3" w14:textId="6636E458" w:rsidR="00363C74" w:rsidRDefault="00517105">
      <w:pPr>
        <w:jc w:val="both"/>
        <w:outlineLvl w:val="0"/>
        <w:rPr>
          <w:rStyle w:val="Strong"/>
          <w:b w:val="0"/>
          <w:szCs w:val="24"/>
          <w:highlight w:val="yellow"/>
          <w:lang w:val="en-GB"/>
        </w:rPr>
      </w:pPr>
      <w:r>
        <w:rPr>
          <w:rStyle w:val="Strong"/>
          <w:b w:val="0"/>
          <w:szCs w:val="24"/>
          <w:lang w:val="en-GB"/>
        </w:rPr>
        <w:t>Country/Geographical zone:</w:t>
      </w:r>
      <w:r w:rsidR="00270464">
        <w:rPr>
          <w:rStyle w:val="Strong"/>
          <w:b w:val="0"/>
          <w:szCs w:val="24"/>
          <w:lang w:val="en-GB"/>
        </w:rPr>
        <w:t xml:space="preserve"> Republic of Serbia , </w:t>
      </w:r>
      <w:r>
        <w:rPr>
          <w:rStyle w:val="Strong"/>
          <w:b w:val="0"/>
          <w:szCs w:val="24"/>
          <w:lang w:val="en-GB"/>
        </w:rPr>
        <w:t xml:space="preserve">  </w:t>
      </w:r>
      <w:proofErr w:type="spellStart"/>
      <w:r>
        <w:rPr>
          <w:rStyle w:val="Strong"/>
          <w:b w:val="0"/>
          <w:szCs w:val="24"/>
          <w:lang w:val="en-GB"/>
        </w:rPr>
        <w:t>Pirot</w:t>
      </w:r>
      <w:proofErr w:type="spellEnd"/>
      <w:r>
        <w:rPr>
          <w:rStyle w:val="Strong"/>
          <w:b w:val="0"/>
          <w:szCs w:val="24"/>
          <w:lang w:val="en-GB"/>
        </w:rPr>
        <w:t xml:space="preserve"> city </w:t>
      </w:r>
      <w:r w:rsidR="00270464">
        <w:rPr>
          <w:rStyle w:val="Strong"/>
          <w:b w:val="0"/>
          <w:szCs w:val="24"/>
          <w:lang w:val="en-GB"/>
        </w:rPr>
        <w:t xml:space="preserve">– village </w:t>
      </w:r>
      <w:proofErr w:type="spellStart"/>
      <w:r w:rsidR="00270464">
        <w:rPr>
          <w:rStyle w:val="Strong"/>
          <w:b w:val="0"/>
          <w:szCs w:val="24"/>
          <w:lang w:val="en-GB"/>
        </w:rPr>
        <w:t>Temska</w:t>
      </w:r>
      <w:proofErr w:type="spellEnd"/>
      <w:r w:rsidR="00270464">
        <w:rPr>
          <w:rStyle w:val="Strong"/>
          <w:b w:val="0"/>
          <w:szCs w:val="24"/>
          <w:lang w:val="en-GB"/>
        </w:rPr>
        <w:t xml:space="preserve"> ( investment site)</w:t>
      </w:r>
      <w:r>
        <w:rPr>
          <w:rStyle w:val="Strong"/>
          <w:b w:val="0"/>
          <w:szCs w:val="24"/>
          <w:lang w:val="en-GB"/>
        </w:rPr>
        <w:t xml:space="preserve"> </w:t>
      </w:r>
    </w:p>
    <w:p w14:paraId="3D2E2DE1" w14:textId="77777777" w:rsidR="00363C74" w:rsidRDefault="00517105">
      <w:pPr>
        <w:jc w:val="both"/>
        <w:outlineLvl w:val="0"/>
        <w:rPr>
          <w:b/>
          <w:bCs/>
          <w:szCs w:val="24"/>
          <w:lang w:val="en-GB"/>
        </w:rPr>
      </w:pPr>
      <w:r>
        <w:rPr>
          <w:b/>
          <w:bCs/>
          <w:szCs w:val="24"/>
          <w:lang w:val="en-GB"/>
        </w:rPr>
        <w:t>5.1.3. Estimated duration</w:t>
      </w:r>
    </w:p>
    <w:p w14:paraId="2FA2F538" w14:textId="27542201" w:rsidR="00363C74" w:rsidRDefault="00517105">
      <w:pPr>
        <w:jc w:val="both"/>
        <w:outlineLvl w:val="0"/>
        <w:rPr>
          <w:szCs w:val="24"/>
          <w:highlight w:val="yellow"/>
          <w:lang w:val="en-GB"/>
        </w:rPr>
      </w:pPr>
      <w:r>
        <w:rPr>
          <w:i/>
          <w:iCs/>
          <w:szCs w:val="24"/>
          <w:lang w:val="en-GB"/>
        </w:rPr>
        <w:t xml:space="preserve">Duration: </w:t>
      </w:r>
      <w:r w:rsidR="00270464">
        <w:rPr>
          <w:szCs w:val="24"/>
          <w:lang w:val="en-GB"/>
        </w:rPr>
        <w:t>9</w:t>
      </w:r>
      <w:r w:rsidRPr="00122C4B">
        <w:rPr>
          <w:szCs w:val="24"/>
          <w:lang w:val="en-GB"/>
        </w:rPr>
        <w:t xml:space="preserve"> months </w:t>
      </w:r>
      <w:r w:rsidR="00270464">
        <w:rPr>
          <w:szCs w:val="24"/>
          <w:lang w:val="en-GB"/>
        </w:rPr>
        <w:t>/270 calendar days</w:t>
      </w:r>
    </w:p>
    <w:p w14:paraId="19A62F13" w14:textId="77777777" w:rsidR="00363C74" w:rsidRDefault="00517105">
      <w:pPr>
        <w:jc w:val="both"/>
        <w:outlineLvl w:val="0"/>
        <w:rPr>
          <w:b/>
          <w:bCs/>
          <w:szCs w:val="24"/>
          <w:lang w:val="en-GB"/>
        </w:rPr>
      </w:pPr>
      <w:r>
        <w:rPr>
          <w:b/>
          <w:bCs/>
          <w:szCs w:val="24"/>
          <w:lang w:val="en-GB"/>
        </w:rPr>
        <w:t xml:space="preserve">5.1.6. General information  </w:t>
      </w:r>
    </w:p>
    <w:p w14:paraId="1768BB8E" w14:textId="77777777" w:rsidR="00363C74" w:rsidRDefault="00517105">
      <w:pPr>
        <w:jc w:val="both"/>
        <w:outlineLvl w:val="0"/>
        <w:rPr>
          <w:szCs w:val="24"/>
          <w:lang w:val="en-GB"/>
        </w:rPr>
      </w:pPr>
      <w:r>
        <w:rPr>
          <w:i/>
          <w:iCs/>
          <w:szCs w:val="24"/>
          <w:lang w:val="en-GB"/>
        </w:rPr>
        <w:t xml:space="preserve">Reserved participation: </w:t>
      </w:r>
      <w:r>
        <w:rPr>
          <w:szCs w:val="24"/>
          <w:lang w:val="en-GB"/>
        </w:rPr>
        <w:t>none.</w:t>
      </w:r>
    </w:p>
    <w:p w14:paraId="27EFED49" w14:textId="77777777" w:rsidR="00363C74" w:rsidRDefault="00517105">
      <w:pPr>
        <w:jc w:val="both"/>
        <w:outlineLvl w:val="0"/>
        <w:rPr>
          <w:szCs w:val="24"/>
          <w:lang w:val="en-GB"/>
        </w:rPr>
      </w:pPr>
      <w:r>
        <w:rPr>
          <w:i/>
          <w:iCs/>
          <w:szCs w:val="24"/>
          <w:lang w:val="en-GB"/>
        </w:rPr>
        <w:t>Procurement Project fully financed with EU Funds.</w:t>
      </w:r>
    </w:p>
    <w:p w14:paraId="3A6ED3ED" w14:textId="19D3D776" w:rsidR="00363C74" w:rsidRPr="00122C4B" w:rsidRDefault="00517105">
      <w:pPr>
        <w:jc w:val="both"/>
        <w:outlineLvl w:val="0"/>
        <w:rPr>
          <w:i/>
          <w:iCs/>
          <w:szCs w:val="24"/>
          <w:lang w:val="en-GB"/>
        </w:rPr>
      </w:pPr>
      <w:r w:rsidRPr="00122C4B">
        <w:rPr>
          <w:i/>
          <w:iCs/>
          <w:szCs w:val="24"/>
          <w:lang w:val="en-GB"/>
        </w:rPr>
        <w:t>Information about previous notices:</w:t>
      </w:r>
      <w:r w:rsidR="00B67976" w:rsidRPr="00122C4B">
        <w:rPr>
          <w:i/>
          <w:iCs/>
          <w:szCs w:val="24"/>
          <w:lang w:val="en-GB"/>
        </w:rPr>
        <w:t xml:space="preserve"> </w:t>
      </w:r>
      <w:r w:rsidR="00270464">
        <w:rPr>
          <w:i/>
          <w:iCs/>
          <w:szCs w:val="24"/>
          <w:lang w:val="en-GB"/>
        </w:rPr>
        <w:t xml:space="preserve">Not applicable </w:t>
      </w:r>
    </w:p>
    <w:p w14:paraId="48C4ECBC" w14:textId="77777777" w:rsidR="00363C74" w:rsidRPr="00122C4B" w:rsidRDefault="00517105">
      <w:pPr>
        <w:jc w:val="both"/>
        <w:outlineLvl w:val="0"/>
        <w:rPr>
          <w:i/>
          <w:iCs/>
          <w:szCs w:val="24"/>
          <w:lang w:val="en-GB"/>
        </w:rPr>
      </w:pPr>
      <w:r w:rsidRPr="00122C4B">
        <w:rPr>
          <w:i/>
          <w:iCs/>
          <w:szCs w:val="24"/>
          <w:lang w:val="en-GB"/>
        </w:rPr>
        <w:t>Information to be filled in to make cross reference in case of Prior information notice.</w:t>
      </w:r>
    </w:p>
    <w:p w14:paraId="549FBC6B" w14:textId="77777777" w:rsidR="00270464" w:rsidRDefault="00517105">
      <w:pPr>
        <w:outlineLvl w:val="0"/>
        <w:rPr>
          <w:bCs/>
          <w:sz w:val="22"/>
          <w:szCs w:val="22"/>
          <w:lang w:val="en-GB"/>
        </w:rPr>
      </w:pPr>
      <w:r w:rsidRPr="00122C4B">
        <w:rPr>
          <w:bCs/>
          <w:sz w:val="22"/>
          <w:szCs w:val="22"/>
          <w:lang w:val="en-GB"/>
        </w:rPr>
        <w:t>Information Notice Title: &lt;information notice title&gt;</w:t>
      </w:r>
      <w:r w:rsidR="00270464">
        <w:rPr>
          <w:bCs/>
          <w:sz w:val="22"/>
          <w:szCs w:val="22"/>
          <w:lang w:val="en-GB"/>
        </w:rPr>
        <w:t xml:space="preserve"> Not applicable</w:t>
      </w:r>
    </w:p>
    <w:p w14:paraId="45BAC6A2" w14:textId="58E41BAD" w:rsidR="00363C74" w:rsidRPr="00122C4B" w:rsidRDefault="00517105">
      <w:pPr>
        <w:outlineLvl w:val="0"/>
        <w:rPr>
          <w:bCs/>
          <w:sz w:val="22"/>
          <w:szCs w:val="22"/>
          <w:lang w:val="en-GB"/>
        </w:rPr>
      </w:pPr>
      <w:r w:rsidRPr="00122C4B">
        <w:rPr>
          <w:bCs/>
          <w:sz w:val="22"/>
          <w:szCs w:val="22"/>
          <w:lang w:val="en-GB"/>
        </w:rPr>
        <w:lastRenderedPageBreak/>
        <w:t>Information Notice Reference Number: &lt;information notice reference number&gt;</w:t>
      </w:r>
      <w:r w:rsidR="00270464">
        <w:rPr>
          <w:bCs/>
          <w:sz w:val="22"/>
          <w:szCs w:val="22"/>
          <w:lang w:val="en-GB"/>
        </w:rPr>
        <w:t xml:space="preserve">Not applicable </w:t>
      </w:r>
    </w:p>
    <w:p w14:paraId="296302A1" w14:textId="77777777" w:rsidR="00363C74" w:rsidRPr="00122C4B" w:rsidRDefault="00517105">
      <w:pPr>
        <w:jc w:val="both"/>
        <w:outlineLvl w:val="0"/>
        <w:rPr>
          <w:b/>
          <w:szCs w:val="24"/>
          <w:lang w:val="en-GB"/>
        </w:rPr>
      </w:pPr>
      <w:r w:rsidRPr="00122C4B">
        <w:rPr>
          <w:b/>
          <w:szCs w:val="24"/>
          <w:lang w:val="en-GB"/>
        </w:rPr>
        <w:t>5.1.9. Selection criteria</w:t>
      </w:r>
    </w:p>
    <w:p w14:paraId="5668A2CB" w14:textId="77777777" w:rsidR="00363C74" w:rsidRPr="00122C4B" w:rsidRDefault="00517105">
      <w:pPr>
        <w:jc w:val="both"/>
        <w:outlineLvl w:val="0"/>
        <w:rPr>
          <w:rStyle w:val="Strong"/>
          <w:b w:val="0"/>
          <w:szCs w:val="24"/>
          <w:lang w:val="en-GB"/>
        </w:rPr>
      </w:pPr>
      <w:r w:rsidRPr="00122C4B">
        <w:rPr>
          <w:i/>
          <w:iCs/>
          <w:szCs w:val="24"/>
          <w:lang w:val="en-GB"/>
        </w:rPr>
        <w:t>Criterion:</w:t>
      </w:r>
      <w:r w:rsidRPr="00122C4B">
        <w:rPr>
          <w:szCs w:val="24"/>
          <w:lang w:val="en-GB"/>
        </w:rPr>
        <w:t xml:space="preserve"> </w:t>
      </w:r>
    </w:p>
    <w:p w14:paraId="073A2A74" w14:textId="77777777" w:rsidR="00363C74" w:rsidRPr="00122C4B" w:rsidRDefault="00517105">
      <w:pPr>
        <w:jc w:val="both"/>
        <w:outlineLvl w:val="0"/>
        <w:rPr>
          <w:szCs w:val="24"/>
          <w:lang w:val="en-GB"/>
        </w:rPr>
      </w:pPr>
      <w:r w:rsidRPr="00122C4B">
        <w:rPr>
          <w:rStyle w:val="Strong"/>
          <w:b w:val="0"/>
          <w:i/>
          <w:iCs/>
          <w:szCs w:val="24"/>
          <w:lang w:val="en-GB"/>
        </w:rPr>
        <w:t>Type</w:t>
      </w:r>
      <w:r w:rsidRPr="00122C4B">
        <w:rPr>
          <w:i/>
          <w:iCs/>
          <w:szCs w:val="24"/>
          <w:lang w:val="en-GB"/>
        </w:rPr>
        <w:t>:</w:t>
      </w:r>
      <w:r w:rsidRPr="00122C4B">
        <w:rPr>
          <w:szCs w:val="24"/>
          <w:lang w:val="en-GB"/>
        </w:rPr>
        <w:t xml:space="preserve"> suitability to pursue the professional activity</w:t>
      </w:r>
    </w:p>
    <w:p w14:paraId="5D7B5C69" w14:textId="77777777" w:rsidR="00363C74" w:rsidRPr="00122C4B" w:rsidRDefault="00517105">
      <w:pPr>
        <w:jc w:val="both"/>
        <w:outlineLvl w:val="0"/>
        <w:rPr>
          <w:szCs w:val="24"/>
          <w:lang w:val="fr-BE"/>
        </w:rPr>
      </w:pPr>
      <w:r w:rsidRPr="00122C4B">
        <w:rPr>
          <w:rStyle w:val="Strong"/>
          <w:b w:val="0"/>
          <w:i/>
          <w:iCs/>
          <w:szCs w:val="24"/>
          <w:lang w:val="fr-BE"/>
        </w:rPr>
        <w:t>Description:</w:t>
      </w:r>
      <w:r w:rsidRPr="00122C4B">
        <w:rPr>
          <w:szCs w:val="24"/>
          <w:lang w:val="fr-BE"/>
        </w:rPr>
        <w:t xml:space="preserve"> </w:t>
      </w:r>
      <w:proofErr w:type="spellStart"/>
      <w:r w:rsidRPr="00122C4B">
        <w:rPr>
          <w:szCs w:val="24"/>
          <w:lang w:val="fr-BE"/>
        </w:rPr>
        <w:t>Please</w:t>
      </w:r>
      <w:proofErr w:type="spellEnd"/>
      <w:r w:rsidRPr="00122C4B">
        <w:rPr>
          <w:szCs w:val="24"/>
          <w:lang w:val="fr-BE"/>
        </w:rPr>
        <w:t xml:space="preserve"> </w:t>
      </w:r>
      <w:proofErr w:type="spellStart"/>
      <w:r w:rsidRPr="00122C4B">
        <w:rPr>
          <w:szCs w:val="24"/>
          <w:lang w:val="fr-BE"/>
        </w:rPr>
        <w:t>consult</w:t>
      </w:r>
      <w:proofErr w:type="spellEnd"/>
      <w:r w:rsidRPr="00122C4B">
        <w:rPr>
          <w:szCs w:val="24"/>
          <w:lang w:val="fr-BE"/>
        </w:rPr>
        <w:t xml:space="preserve"> </w:t>
      </w:r>
      <w:proofErr w:type="spellStart"/>
      <w:r w:rsidRPr="00122C4B">
        <w:rPr>
          <w:szCs w:val="24"/>
          <w:lang w:val="fr-BE"/>
        </w:rPr>
        <w:t>procurement</w:t>
      </w:r>
      <w:proofErr w:type="spellEnd"/>
      <w:r w:rsidRPr="00122C4B">
        <w:rPr>
          <w:szCs w:val="24"/>
          <w:lang w:val="fr-BE"/>
        </w:rPr>
        <w:t xml:space="preserve"> documents.</w:t>
      </w:r>
    </w:p>
    <w:p w14:paraId="609511CB" w14:textId="77777777" w:rsidR="00363C74" w:rsidRPr="00122C4B" w:rsidRDefault="00517105">
      <w:pPr>
        <w:jc w:val="both"/>
        <w:outlineLvl w:val="0"/>
        <w:rPr>
          <w:szCs w:val="24"/>
          <w:lang w:val="en-GB"/>
        </w:rPr>
      </w:pPr>
      <w:r w:rsidRPr="00122C4B">
        <w:rPr>
          <w:rStyle w:val="Strong"/>
          <w:b w:val="0"/>
          <w:i/>
          <w:iCs/>
          <w:szCs w:val="24"/>
          <w:lang w:val="en-GB"/>
        </w:rPr>
        <w:t>Type</w:t>
      </w:r>
      <w:r w:rsidRPr="00122C4B">
        <w:rPr>
          <w:i/>
          <w:iCs/>
          <w:szCs w:val="24"/>
          <w:lang w:val="en-GB"/>
        </w:rPr>
        <w:t>:</w:t>
      </w:r>
      <w:r w:rsidRPr="00122C4B">
        <w:rPr>
          <w:szCs w:val="24"/>
          <w:lang w:val="en-GB"/>
        </w:rPr>
        <w:t xml:space="preserve"> economic and financial standing</w:t>
      </w:r>
    </w:p>
    <w:p w14:paraId="51D876EE" w14:textId="77777777" w:rsidR="00363C74" w:rsidRPr="00122C4B" w:rsidRDefault="00517105">
      <w:pPr>
        <w:jc w:val="both"/>
        <w:outlineLvl w:val="0"/>
        <w:rPr>
          <w:szCs w:val="24"/>
          <w:lang w:val="en-GB"/>
        </w:rPr>
      </w:pPr>
      <w:r w:rsidRPr="00122C4B">
        <w:rPr>
          <w:rStyle w:val="Strong"/>
          <w:b w:val="0"/>
          <w:i/>
          <w:iCs/>
          <w:szCs w:val="24"/>
          <w:lang w:val="en-GB"/>
        </w:rPr>
        <w:t>Description:</w:t>
      </w:r>
      <w:r w:rsidRPr="00122C4B">
        <w:rPr>
          <w:szCs w:val="24"/>
          <w:lang w:val="en-GB"/>
        </w:rPr>
        <w:t xml:space="preserve"> Please consult procurement documents.</w:t>
      </w:r>
    </w:p>
    <w:p w14:paraId="78576EA9" w14:textId="77777777" w:rsidR="00363C74" w:rsidRPr="00122C4B" w:rsidRDefault="00517105">
      <w:pPr>
        <w:jc w:val="both"/>
        <w:outlineLvl w:val="0"/>
        <w:rPr>
          <w:rStyle w:val="Strong"/>
          <w:b w:val="0"/>
          <w:szCs w:val="24"/>
          <w:lang w:val="en-GB"/>
        </w:rPr>
      </w:pPr>
      <w:r w:rsidRPr="00122C4B">
        <w:rPr>
          <w:rStyle w:val="Strong"/>
          <w:b w:val="0"/>
          <w:i/>
          <w:iCs/>
          <w:szCs w:val="24"/>
          <w:lang w:val="en-GB"/>
        </w:rPr>
        <w:t>Type</w:t>
      </w:r>
      <w:r w:rsidRPr="00122C4B">
        <w:rPr>
          <w:i/>
          <w:iCs/>
          <w:szCs w:val="24"/>
          <w:lang w:val="en-GB"/>
        </w:rPr>
        <w:t>:</w:t>
      </w:r>
      <w:r w:rsidRPr="00122C4B">
        <w:rPr>
          <w:szCs w:val="24"/>
          <w:lang w:val="en-GB"/>
        </w:rPr>
        <w:t xml:space="preserve"> technical and professional ability</w:t>
      </w:r>
    </w:p>
    <w:p w14:paraId="4D3D404E" w14:textId="77777777" w:rsidR="00363C74" w:rsidRPr="00122C4B" w:rsidRDefault="00517105">
      <w:pPr>
        <w:jc w:val="both"/>
        <w:outlineLvl w:val="0"/>
        <w:rPr>
          <w:szCs w:val="24"/>
          <w:lang w:val="en-GB"/>
        </w:rPr>
      </w:pPr>
      <w:r w:rsidRPr="00122C4B">
        <w:rPr>
          <w:rStyle w:val="Strong"/>
          <w:b w:val="0"/>
          <w:i/>
          <w:iCs/>
          <w:szCs w:val="24"/>
          <w:lang w:val="en-GB"/>
        </w:rPr>
        <w:t>Description:</w:t>
      </w:r>
      <w:r w:rsidRPr="00122C4B">
        <w:rPr>
          <w:szCs w:val="24"/>
          <w:lang w:val="en-GB"/>
        </w:rPr>
        <w:t xml:space="preserve"> Please consult procurement documents.</w:t>
      </w:r>
    </w:p>
    <w:p w14:paraId="41D8D45E" w14:textId="77777777" w:rsidR="00363C74" w:rsidRPr="00122C4B" w:rsidRDefault="00517105">
      <w:pPr>
        <w:jc w:val="both"/>
        <w:outlineLvl w:val="0"/>
        <w:rPr>
          <w:b/>
          <w:bCs/>
          <w:szCs w:val="24"/>
          <w:lang w:val="en-GB"/>
        </w:rPr>
      </w:pPr>
      <w:r w:rsidRPr="00122C4B">
        <w:rPr>
          <w:b/>
          <w:bCs/>
          <w:szCs w:val="24"/>
          <w:lang w:val="en-GB"/>
        </w:rPr>
        <w:t>5.1.10. Award criteria</w:t>
      </w:r>
    </w:p>
    <w:p w14:paraId="3657E06F" w14:textId="77777777" w:rsidR="00363C74" w:rsidRPr="00122C4B" w:rsidRDefault="00517105">
      <w:pPr>
        <w:jc w:val="both"/>
        <w:outlineLvl w:val="0"/>
        <w:rPr>
          <w:szCs w:val="24"/>
          <w:lang w:val="en-GB"/>
        </w:rPr>
      </w:pPr>
      <w:r w:rsidRPr="00122C4B">
        <w:rPr>
          <w:szCs w:val="24"/>
          <w:lang w:val="en-GB"/>
        </w:rPr>
        <w:t>Type: Price</w:t>
      </w:r>
    </w:p>
    <w:p w14:paraId="6449C456" w14:textId="77777777" w:rsidR="00363C74" w:rsidRPr="00122C4B" w:rsidRDefault="00517105">
      <w:pPr>
        <w:jc w:val="both"/>
        <w:outlineLvl w:val="0"/>
        <w:rPr>
          <w:szCs w:val="24"/>
          <w:lang w:val="en-GB"/>
        </w:rPr>
      </w:pPr>
      <w:r w:rsidRPr="00122C4B">
        <w:rPr>
          <w:szCs w:val="24"/>
          <w:lang w:val="en-GB"/>
        </w:rPr>
        <w:t>The most economically advantageous tender is the technically compliant tender with the lowest price.</w:t>
      </w:r>
    </w:p>
    <w:p w14:paraId="7CFDF20D" w14:textId="77777777" w:rsidR="00363C74" w:rsidRDefault="00363C74">
      <w:pPr>
        <w:jc w:val="both"/>
        <w:outlineLvl w:val="0"/>
        <w:rPr>
          <w:szCs w:val="24"/>
          <w:highlight w:val="cyan"/>
          <w:lang w:val="en-GB"/>
        </w:rPr>
      </w:pPr>
    </w:p>
    <w:p w14:paraId="353BE29F" w14:textId="77777777" w:rsidR="00363C74" w:rsidRDefault="00517105">
      <w:pPr>
        <w:jc w:val="both"/>
        <w:outlineLvl w:val="0"/>
        <w:rPr>
          <w:rStyle w:val="Strong"/>
          <w:szCs w:val="24"/>
          <w:lang w:val="en-GB"/>
        </w:rPr>
      </w:pPr>
      <w:r>
        <w:rPr>
          <w:b/>
          <w:szCs w:val="24"/>
          <w:lang w:val="en-GB"/>
        </w:rPr>
        <w:t>5.1.11. Procurement documents</w:t>
      </w:r>
    </w:p>
    <w:p w14:paraId="5571B804" w14:textId="279D9CD6" w:rsidR="00363C74" w:rsidRDefault="00517105">
      <w:pPr>
        <w:jc w:val="both"/>
        <w:outlineLvl w:val="0"/>
        <w:rPr>
          <w:rStyle w:val="Strong"/>
          <w:szCs w:val="24"/>
          <w:u w:val="single"/>
          <w:lang w:val="en-GB"/>
        </w:rPr>
      </w:pPr>
      <w:r>
        <w:rPr>
          <w:bCs/>
          <w:i/>
          <w:iCs/>
          <w:szCs w:val="24"/>
          <w:lang w:val="en-GB"/>
        </w:rPr>
        <w:t>Languages in which the procurement documents are officially available: </w:t>
      </w:r>
      <w:r w:rsidR="001B18AE">
        <w:rPr>
          <w:rStyle w:val="Strong"/>
          <w:b w:val="0"/>
          <w:szCs w:val="24"/>
          <w:lang w:val="en-GB"/>
        </w:rPr>
        <w:t>English</w:t>
      </w:r>
      <w:r>
        <w:rPr>
          <w:rStyle w:val="Strong"/>
          <w:b w:val="0"/>
          <w:szCs w:val="24"/>
          <w:lang w:val="en-GB"/>
        </w:rPr>
        <w:t xml:space="preserve"> </w:t>
      </w:r>
    </w:p>
    <w:p w14:paraId="06AD4B85" w14:textId="77777777" w:rsidR="00363C74" w:rsidRDefault="00517105">
      <w:pPr>
        <w:keepNext/>
        <w:jc w:val="both"/>
        <w:outlineLvl w:val="0"/>
        <w:rPr>
          <w:rStyle w:val="Strong"/>
          <w:szCs w:val="24"/>
          <w:lang w:val="en-GB"/>
        </w:rPr>
      </w:pPr>
      <w:r>
        <w:rPr>
          <w:rStyle w:val="Strong"/>
          <w:szCs w:val="24"/>
          <w:lang w:val="en-GB"/>
        </w:rPr>
        <w:t>5.1.12. Terms of procurement</w:t>
      </w:r>
    </w:p>
    <w:p w14:paraId="7343476E" w14:textId="6EFD8D9A" w:rsidR="00363C74" w:rsidRDefault="00517105">
      <w:pPr>
        <w:widowControl/>
        <w:shd w:val="clear" w:color="auto" w:fill="FFFFFF"/>
        <w:spacing w:before="0"/>
        <w:jc w:val="both"/>
        <w:rPr>
          <w:bCs/>
          <w:i/>
          <w:iCs/>
          <w:szCs w:val="24"/>
          <w:highlight w:val="lightGray"/>
          <w:lang w:val="en-GB"/>
        </w:rPr>
      </w:pPr>
      <w:r>
        <w:rPr>
          <w:bCs/>
          <w:i/>
          <w:iCs/>
          <w:szCs w:val="24"/>
          <w:lang w:val="en-GB"/>
        </w:rPr>
        <w:t>Terms of submission:</w:t>
      </w:r>
      <w:r>
        <w:rPr>
          <w:szCs w:val="24"/>
          <w:lang w:val="en-GB"/>
        </w:rPr>
        <w:t xml:space="preserve"> </w:t>
      </w:r>
      <w:r w:rsidR="00122C4B">
        <w:rPr>
          <w:szCs w:val="24"/>
          <w:lang w:val="en-GB"/>
        </w:rPr>
        <w:t xml:space="preserve">Paper </w:t>
      </w:r>
    </w:p>
    <w:p w14:paraId="77183CAC" w14:textId="77777777" w:rsidR="00363C74" w:rsidRDefault="00517105">
      <w:pPr>
        <w:widowControl/>
        <w:shd w:val="clear" w:color="auto" w:fill="FFFFFF"/>
        <w:spacing w:before="0"/>
        <w:jc w:val="both"/>
        <w:rPr>
          <w:bCs/>
          <w:i/>
          <w:iCs/>
          <w:szCs w:val="24"/>
          <w:highlight w:val="lightGray"/>
          <w:lang w:val="en-GB"/>
        </w:rPr>
      </w:pPr>
      <w:r>
        <w:rPr>
          <w:bCs/>
          <w:i/>
          <w:iCs/>
          <w:szCs w:val="24"/>
          <w:lang w:val="en-GB"/>
        </w:rPr>
        <w:t>Electronic submission: </w:t>
      </w:r>
      <w:r>
        <w:rPr>
          <w:rStyle w:val="Strong"/>
          <w:b w:val="0"/>
          <w:szCs w:val="24"/>
          <w:lang w:val="en-GB"/>
        </w:rPr>
        <w:t>Not allowed</w:t>
      </w:r>
    </w:p>
    <w:p w14:paraId="77DC7A1B" w14:textId="55B4265D" w:rsidR="00363C74" w:rsidRPr="00545F73" w:rsidRDefault="00517105">
      <w:pPr>
        <w:widowControl/>
        <w:shd w:val="clear" w:color="auto" w:fill="FFFFFF"/>
        <w:spacing w:before="0"/>
        <w:jc w:val="both"/>
        <w:rPr>
          <w:bCs/>
          <w:i/>
          <w:iCs/>
          <w:szCs w:val="24"/>
          <w:lang w:val="en-GB"/>
        </w:rPr>
      </w:pPr>
      <w:r>
        <w:rPr>
          <w:bCs/>
          <w:i/>
          <w:iCs/>
          <w:szCs w:val="24"/>
          <w:lang w:val="en-GB"/>
        </w:rPr>
        <w:t>Languages in which tenders or requests to participate may be submitted</w:t>
      </w:r>
      <w:r w:rsidRPr="00545F73">
        <w:rPr>
          <w:bCs/>
          <w:i/>
          <w:iCs/>
          <w:szCs w:val="24"/>
          <w:lang w:val="en-GB"/>
        </w:rPr>
        <w:t>: </w:t>
      </w:r>
      <w:r w:rsidRPr="00545F73">
        <w:rPr>
          <w:rStyle w:val="Strong"/>
          <w:b w:val="0"/>
          <w:szCs w:val="24"/>
          <w:lang w:val="en-GB"/>
        </w:rPr>
        <w:t xml:space="preserve"> E</w:t>
      </w:r>
      <w:r w:rsidR="00545F73">
        <w:rPr>
          <w:rStyle w:val="Strong"/>
          <w:b w:val="0"/>
          <w:szCs w:val="24"/>
          <w:lang w:val="en-GB"/>
        </w:rPr>
        <w:t>nglish</w:t>
      </w:r>
    </w:p>
    <w:p w14:paraId="6045661A" w14:textId="77777777" w:rsidR="00363C74" w:rsidRPr="00545F73" w:rsidRDefault="00517105">
      <w:pPr>
        <w:widowControl/>
        <w:shd w:val="clear" w:color="auto" w:fill="FFFFFF"/>
        <w:spacing w:before="0"/>
        <w:jc w:val="both"/>
        <w:rPr>
          <w:rStyle w:val="Strong"/>
          <w:b w:val="0"/>
          <w:szCs w:val="24"/>
          <w:lang w:val="en-GB"/>
        </w:rPr>
      </w:pPr>
      <w:r w:rsidRPr="00545F73">
        <w:rPr>
          <w:bCs/>
          <w:i/>
          <w:iCs/>
          <w:szCs w:val="24"/>
          <w:lang w:val="en-GB"/>
        </w:rPr>
        <w:t>Deadline for receipt of tenders:</w:t>
      </w:r>
      <w:r w:rsidRPr="00545F73">
        <w:rPr>
          <w:rStyle w:val="Strong"/>
          <w:b w:val="0"/>
          <w:szCs w:val="24"/>
          <w:lang w:val="en-GB"/>
        </w:rPr>
        <w:t xml:space="preserve"> </w:t>
      </w:r>
    </w:p>
    <w:p w14:paraId="16A808A5" w14:textId="264313AF" w:rsidR="003F5A25" w:rsidRPr="004967B7" w:rsidRDefault="00517105">
      <w:pPr>
        <w:widowControl/>
        <w:shd w:val="clear" w:color="auto" w:fill="FFFFFF"/>
        <w:spacing w:before="0"/>
        <w:jc w:val="both"/>
        <w:rPr>
          <w:rStyle w:val="Strong"/>
          <w:b w:val="0"/>
          <w:szCs w:val="24"/>
          <w:lang w:val="en-GB"/>
        </w:rPr>
      </w:pPr>
      <w:r w:rsidRPr="004967B7">
        <w:rPr>
          <w:rStyle w:val="Strong"/>
          <w:b w:val="0"/>
          <w:szCs w:val="24"/>
          <w:lang w:val="en-GB"/>
        </w:rPr>
        <w:t xml:space="preserve">Date: </w:t>
      </w:r>
      <w:r w:rsidR="00532808" w:rsidRPr="004967B7">
        <w:rPr>
          <w:rStyle w:val="Strong"/>
          <w:b w:val="0"/>
          <w:szCs w:val="24"/>
          <w:lang w:val="en-GB"/>
        </w:rPr>
        <w:t>2</w:t>
      </w:r>
      <w:r w:rsidR="00EA11D9">
        <w:rPr>
          <w:rStyle w:val="Strong"/>
          <w:b w:val="0"/>
          <w:szCs w:val="24"/>
          <w:lang w:val="en-GB"/>
        </w:rPr>
        <w:t>7</w:t>
      </w:r>
      <w:r w:rsidR="00270464" w:rsidRPr="004967B7">
        <w:rPr>
          <w:rStyle w:val="Strong"/>
          <w:b w:val="0"/>
          <w:szCs w:val="24"/>
          <w:lang w:val="en-GB"/>
        </w:rPr>
        <w:t>.03.2026.</w:t>
      </w:r>
      <w:r w:rsidR="003F5A25" w:rsidRPr="004967B7">
        <w:rPr>
          <w:rStyle w:val="Strong"/>
          <w:b w:val="0"/>
          <w:szCs w:val="24"/>
          <w:lang w:val="en-GB"/>
        </w:rPr>
        <w:t xml:space="preserve">  2026, March </w:t>
      </w:r>
      <w:r w:rsidR="00532808" w:rsidRPr="004967B7">
        <w:rPr>
          <w:rStyle w:val="Strong"/>
          <w:b w:val="0"/>
          <w:szCs w:val="24"/>
          <w:lang w:val="en-GB"/>
        </w:rPr>
        <w:t>2</w:t>
      </w:r>
      <w:r w:rsidR="00EA11D9">
        <w:rPr>
          <w:rStyle w:val="Strong"/>
          <w:b w:val="0"/>
          <w:szCs w:val="24"/>
          <w:lang w:val="en-GB"/>
        </w:rPr>
        <w:t>7</w:t>
      </w:r>
    </w:p>
    <w:p w14:paraId="5BA8204A" w14:textId="6224487B" w:rsidR="00363C74" w:rsidRPr="004967B7" w:rsidRDefault="00517105">
      <w:pPr>
        <w:widowControl/>
        <w:shd w:val="clear" w:color="auto" w:fill="FFFFFF"/>
        <w:spacing w:before="0"/>
        <w:jc w:val="both"/>
        <w:rPr>
          <w:bCs/>
          <w:i/>
          <w:iCs/>
          <w:szCs w:val="24"/>
          <w:lang w:val="en-GB"/>
        </w:rPr>
      </w:pPr>
      <w:r w:rsidRPr="004967B7">
        <w:rPr>
          <w:rStyle w:val="Strong"/>
          <w:b w:val="0"/>
          <w:szCs w:val="24"/>
          <w:lang w:val="en-GB"/>
        </w:rPr>
        <w:t xml:space="preserve">Local Time: </w:t>
      </w:r>
      <w:r w:rsidR="00270464" w:rsidRPr="004967B7">
        <w:rPr>
          <w:rStyle w:val="Strong"/>
          <w:b w:val="0"/>
          <w:szCs w:val="24"/>
          <w:lang w:val="en-GB"/>
        </w:rPr>
        <w:t xml:space="preserve">13.00 </w:t>
      </w:r>
      <w:proofErr w:type="spellStart"/>
      <w:r w:rsidR="00270464" w:rsidRPr="004967B7">
        <w:rPr>
          <w:rStyle w:val="Strong"/>
          <w:b w:val="0"/>
          <w:szCs w:val="24"/>
          <w:lang w:val="en-GB"/>
        </w:rPr>
        <w:t>p.m</w:t>
      </w:r>
      <w:proofErr w:type="spellEnd"/>
      <w:r w:rsidR="00270464" w:rsidRPr="004967B7">
        <w:rPr>
          <w:rStyle w:val="Strong"/>
          <w:b w:val="0"/>
          <w:szCs w:val="24"/>
          <w:lang w:val="en-GB"/>
        </w:rPr>
        <w:t xml:space="preserve"> Local time </w:t>
      </w:r>
      <w:r w:rsidRPr="004967B7">
        <w:rPr>
          <w:rStyle w:val="Strong"/>
          <w:b w:val="0"/>
          <w:szCs w:val="24"/>
          <w:lang w:val="en-GB"/>
        </w:rPr>
        <w:t xml:space="preserve"> </w:t>
      </w:r>
    </w:p>
    <w:p w14:paraId="5BEBA972" w14:textId="77777777" w:rsidR="00363C74" w:rsidRPr="00545F73" w:rsidRDefault="00517105">
      <w:pPr>
        <w:widowControl/>
        <w:shd w:val="clear" w:color="auto" w:fill="FFFFFF"/>
        <w:spacing w:before="0"/>
        <w:jc w:val="both"/>
        <w:rPr>
          <w:bCs/>
          <w:i/>
          <w:iCs/>
          <w:szCs w:val="24"/>
          <w:lang w:val="en-GB"/>
        </w:rPr>
      </w:pPr>
      <w:r w:rsidRPr="00545F73">
        <w:rPr>
          <w:bCs/>
          <w:i/>
          <w:iCs/>
          <w:szCs w:val="24"/>
          <w:lang w:val="en-GB"/>
        </w:rPr>
        <w:t>Deadline until which the tender must remain valid: </w:t>
      </w:r>
      <w:r w:rsidRPr="00545F73">
        <w:rPr>
          <w:rStyle w:val="Strong"/>
          <w:b w:val="0"/>
          <w:szCs w:val="24"/>
          <w:lang w:val="en-GB"/>
        </w:rPr>
        <w:t>3 months from the date stated for receipt of tender.</w:t>
      </w:r>
    </w:p>
    <w:p w14:paraId="296D430C" w14:textId="730F6A26" w:rsidR="00363C74" w:rsidRPr="00545F73" w:rsidRDefault="00517105">
      <w:pPr>
        <w:widowControl/>
        <w:shd w:val="clear" w:color="auto" w:fill="FFFFFF"/>
        <w:spacing w:before="0"/>
        <w:jc w:val="both"/>
        <w:rPr>
          <w:bCs/>
          <w:i/>
          <w:iCs/>
          <w:szCs w:val="24"/>
          <w:lang w:val="en-GB"/>
        </w:rPr>
      </w:pPr>
      <w:r w:rsidRPr="00545F73">
        <w:rPr>
          <w:bCs/>
          <w:i/>
          <w:iCs/>
          <w:szCs w:val="24"/>
          <w:lang w:val="en-GB"/>
        </w:rPr>
        <w:t>Terms of contract:</w:t>
      </w:r>
      <w:r w:rsidRPr="00545F73">
        <w:rPr>
          <w:szCs w:val="24"/>
          <w:lang w:val="en-GB"/>
        </w:rPr>
        <w:t xml:space="preserve"> </w:t>
      </w:r>
      <w:r w:rsidR="00F97784" w:rsidRPr="00545F73">
        <w:rPr>
          <w:szCs w:val="24"/>
          <w:lang w:val="en-GB"/>
        </w:rPr>
        <w:t xml:space="preserve">Lump sum contract </w:t>
      </w:r>
    </w:p>
    <w:p w14:paraId="5FB1FA33" w14:textId="4231CF35" w:rsidR="00363C74" w:rsidRPr="00545F73" w:rsidRDefault="00517105">
      <w:pPr>
        <w:widowControl/>
        <w:shd w:val="clear" w:color="auto" w:fill="FFFFFF"/>
        <w:spacing w:before="0"/>
        <w:jc w:val="both"/>
        <w:rPr>
          <w:bCs/>
          <w:i/>
          <w:iCs/>
          <w:szCs w:val="24"/>
          <w:lang w:val="en-GB"/>
        </w:rPr>
      </w:pPr>
      <w:r w:rsidRPr="00545F73">
        <w:rPr>
          <w:bCs/>
          <w:i/>
          <w:iCs/>
          <w:szCs w:val="24"/>
          <w:lang w:val="en-GB"/>
        </w:rPr>
        <w:t>Electronic invoicing: </w:t>
      </w:r>
      <w:r w:rsidRPr="00545F73">
        <w:rPr>
          <w:rStyle w:val="Strong"/>
          <w:b w:val="0"/>
          <w:szCs w:val="24"/>
          <w:lang w:val="en-GB"/>
        </w:rPr>
        <w:t xml:space="preserve"> allowed.</w:t>
      </w:r>
    </w:p>
    <w:p w14:paraId="49D8645F" w14:textId="77777777" w:rsidR="00363C74" w:rsidRPr="00545F73" w:rsidRDefault="00517105">
      <w:pPr>
        <w:widowControl/>
        <w:shd w:val="clear" w:color="auto" w:fill="FFFFFF"/>
        <w:spacing w:before="0"/>
        <w:jc w:val="both"/>
        <w:rPr>
          <w:rStyle w:val="Strong"/>
          <w:b w:val="0"/>
          <w:bCs/>
          <w:szCs w:val="24"/>
          <w:lang w:val="en-GB"/>
        </w:rPr>
      </w:pPr>
      <w:r w:rsidRPr="00545F73">
        <w:rPr>
          <w:bCs/>
          <w:i/>
          <w:iCs/>
          <w:szCs w:val="24"/>
          <w:lang w:val="en-GB"/>
        </w:rPr>
        <w:t>Electronic payment will be used.</w:t>
      </w:r>
    </w:p>
    <w:p w14:paraId="0D8F754B" w14:textId="77777777" w:rsidR="00363C74" w:rsidRPr="00545F73" w:rsidRDefault="00517105">
      <w:pPr>
        <w:jc w:val="both"/>
        <w:outlineLvl w:val="0"/>
        <w:rPr>
          <w:rStyle w:val="Strong"/>
          <w:szCs w:val="24"/>
          <w:u w:val="single"/>
          <w:lang w:val="en-GB"/>
        </w:rPr>
      </w:pPr>
      <w:r w:rsidRPr="00545F73">
        <w:rPr>
          <w:rStyle w:val="Strong"/>
          <w:szCs w:val="24"/>
          <w:u w:val="single"/>
          <w:lang w:val="en-GB"/>
        </w:rPr>
        <w:t>8. Organisation</w:t>
      </w:r>
    </w:p>
    <w:p w14:paraId="53937D7C" w14:textId="77777777" w:rsidR="00363C74" w:rsidRDefault="00517105">
      <w:pPr>
        <w:widowControl/>
        <w:spacing w:before="0" w:after="0"/>
        <w:jc w:val="both"/>
        <w:rPr>
          <w:szCs w:val="24"/>
          <w:highlight w:val="yellow"/>
          <w:lang w:val="en-GB"/>
        </w:rPr>
      </w:pPr>
      <w:r w:rsidRPr="00545F73">
        <w:rPr>
          <w:szCs w:val="24"/>
          <w:lang w:val="en-GB"/>
        </w:rPr>
        <w:t>“Organisation” is an identifier of one or more sections within this notice, depending on the role that organisation has in the procurement procedure. The information in this</w:t>
      </w:r>
      <w:r w:rsidRPr="00F97784">
        <w:rPr>
          <w:szCs w:val="24"/>
          <w:lang w:val="en-GB"/>
        </w:rPr>
        <w:t xml:space="preserve"> organisation section lists all organisations that are participating in the procedure, their information, and the role they have. It is necessary to fill in all the below information for each organisation</w:t>
      </w:r>
      <w:r w:rsidRPr="003F5A25">
        <w:rPr>
          <w:szCs w:val="24"/>
          <w:lang w:val="en-GB"/>
        </w:rPr>
        <w:t>.</w:t>
      </w:r>
    </w:p>
    <w:p w14:paraId="5C41E393" w14:textId="77777777" w:rsidR="00363C74" w:rsidRDefault="00363C74">
      <w:pPr>
        <w:widowControl/>
        <w:spacing w:before="0" w:after="0"/>
        <w:jc w:val="both"/>
        <w:rPr>
          <w:szCs w:val="24"/>
          <w:highlight w:val="yellow"/>
          <w:lang w:val="en-GB"/>
        </w:rPr>
      </w:pPr>
    </w:p>
    <w:p w14:paraId="66C45CF6" w14:textId="77777777" w:rsidR="00363C74" w:rsidRDefault="00517105">
      <w:pPr>
        <w:jc w:val="both"/>
        <w:outlineLvl w:val="0"/>
        <w:rPr>
          <w:szCs w:val="24"/>
          <w:lang w:val="en-GB"/>
        </w:rPr>
      </w:pPr>
      <w:r>
        <w:rPr>
          <w:szCs w:val="24"/>
          <w:lang w:val="en-GB"/>
        </w:rPr>
        <w:t>8.1 ORG-0001</w:t>
      </w:r>
    </w:p>
    <w:p w14:paraId="162F2C0D" w14:textId="312F1157" w:rsidR="00363C74" w:rsidRDefault="00517105">
      <w:pPr>
        <w:spacing w:before="0"/>
        <w:jc w:val="both"/>
        <w:outlineLvl w:val="0"/>
        <w:rPr>
          <w:szCs w:val="24"/>
          <w:lang w:val="en-GB"/>
        </w:rPr>
      </w:pPr>
      <w:r>
        <w:rPr>
          <w:szCs w:val="24"/>
          <w:lang w:val="en-GB"/>
        </w:rPr>
        <w:t xml:space="preserve">Official name: </w:t>
      </w:r>
      <w:r w:rsidR="00270464">
        <w:rPr>
          <w:szCs w:val="24"/>
          <w:lang w:val="en-GB"/>
        </w:rPr>
        <w:t xml:space="preserve"> Culture centre </w:t>
      </w:r>
      <w:proofErr w:type="spellStart"/>
      <w:r w:rsidR="00270464">
        <w:rPr>
          <w:szCs w:val="24"/>
          <w:lang w:val="en-GB"/>
        </w:rPr>
        <w:t>Pirot</w:t>
      </w:r>
      <w:proofErr w:type="spellEnd"/>
      <w:r w:rsidR="00270464">
        <w:rPr>
          <w:szCs w:val="24"/>
          <w:lang w:val="en-GB"/>
        </w:rPr>
        <w:t xml:space="preserve"> </w:t>
      </w:r>
    </w:p>
    <w:p w14:paraId="2AB9AAAB" w14:textId="19CF6D81" w:rsidR="00363C74" w:rsidRDefault="00517105">
      <w:pPr>
        <w:spacing w:before="0"/>
        <w:jc w:val="both"/>
        <w:outlineLvl w:val="0"/>
        <w:rPr>
          <w:szCs w:val="24"/>
          <w:lang w:val="en-GB"/>
        </w:rPr>
      </w:pPr>
      <w:r>
        <w:rPr>
          <w:szCs w:val="24"/>
          <w:lang w:val="en-GB"/>
        </w:rPr>
        <w:t>Registration number: 07</w:t>
      </w:r>
      <w:r w:rsidR="00270464">
        <w:rPr>
          <w:szCs w:val="24"/>
          <w:lang w:val="en-GB"/>
        </w:rPr>
        <w:t>346280</w:t>
      </w:r>
    </w:p>
    <w:p w14:paraId="2FD52196" w14:textId="77777777" w:rsidR="00363C74" w:rsidRDefault="00517105">
      <w:pPr>
        <w:spacing w:before="0"/>
        <w:jc w:val="both"/>
        <w:outlineLvl w:val="0"/>
        <w:rPr>
          <w:szCs w:val="24"/>
          <w:lang w:val="en-GB"/>
        </w:rPr>
      </w:pPr>
      <w:r>
        <w:rPr>
          <w:szCs w:val="24"/>
          <w:lang w:val="en-GB"/>
        </w:rPr>
        <w:t xml:space="preserve">Town: </w:t>
      </w:r>
      <w:proofErr w:type="spellStart"/>
      <w:r>
        <w:rPr>
          <w:szCs w:val="24"/>
          <w:lang w:val="en-GB"/>
        </w:rPr>
        <w:t>Pirot</w:t>
      </w:r>
      <w:proofErr w:type="spellEnd"/>
    </w:p>
    <w:p w14:paraId="1E764B90" w14:textId="77777777" w:rsidR="00363C74" w:rsidRDefault="00517105">
      <w:pPr>
        <w:spacing w:before="0"/>
        <w:jc w:val="both"/>
        <w:outlineLvl w:val="0"/>
        <w:rPr>
          <w:szCs w:val="24"/>
          <w:lang w:val="en-GB"/>
        </w:rPr>
      </w:pPr>
      <w:r>
        <w:rPr>
          <w:szCs w:val="24"/>
          <w:lang w:val="en-GB"/>
        </w:rPr>
        <w:t>Postcode: 18300</w:t>
      </w:r>
    </w:p>
    <w:p w14:paraId="3B3DA582" w14:textId="5675BB7B" w:rsidR="00363C74" w:rsidRDefault="00517105">
      <w:pPr>
        <w:spacing w:before="0"/>
        <w:jc w:val="both"/>
        <w:outlineLvl w:val="0"/>
        <w:rPr>
          <w:szCs w:val="24"/>
          <w:lang w:val="en-GB"/>
        </w:rPr>
      </w:pPr>
      <w:r>
        <w:rPr>
          <w:szCs w:val="24"/>
          <w:lang w:val="en-GB"/>
        </w:rPr>
        <w:lastRenderedPageBreak/>
        <w:t xml:space="preserve">Country: </w:t>
      </w:r>
      <w:r w:rsidR="00F74802">
        <w:rPr>
          <w:szCs w:val="24"/>
          <w:lang w:val="en-GB"/>
        </w:rPr>
        <w:t>S</w:t>
      </w:r>
      <w:r>
        <w:rPr>
          <w:szCs w:val="24"/>
          <w:lang w:val="en-GB"/>
        </w:rPr>
        <w:t>erbia</w:t>
      </w:r>
    </w:p>
    <w:p w14:paraId="47035008" w14:textId="05C27456" w:rsidR="00363C74" w:rsidRDefault="00517105">
      <w:pPr>
        <w:spacing w:before="0"/>
        <w:jc w:val="both"/>
        <w:outlineLvl w:val="0"/>
        <w:rPr>
          <w:szCs w:val="24"/>
        </w:rPr>
      </w:pPr>
      <w:r>
        <w:rPr>
          <w:szCs w:val="24"/>
          <w:lang w:val="en-GB"/>
        </w:rPr>
        <w:t xml:space="preserve">Email: </w:t>
      </w:r>
      <w:proofErr w:type="spellStart"/>
      <w:r w:rsidR="003F5A25">
        <w:rPr>
          <w:szCs w:val="24"/>
          <w:lang w:val="en-GB"/>
        </w:rPr>
        <w:t>domkultirepirot</w:t>
      </w:r>
      <w:proofErr w:type="spellEnd"/>
      <w:r w:rsidR="003F5A25">
        <w:rPr>
          <w:szCs w:val="24"/>
        </w:rPr>
        <w:t>@gmail.com</w:t>
      </w:r>
    </w:p>
    <w:p w14:paraId="61F1CC0A" w14:textId="77777777" w:rsidR="003F5A25" w:rsidRPr="003F5A25" w:rsidRDefault="003F5A25">
      <w:pPr>
        <w:spacing w:before="0"/>
        <w:jc w:val="both"/>
        <w:outlineLvl w:val="0"/>
        <w:rPr>
          <w:szCs w:val="24"/>
        </w:rPr>
      </w:pPr>
    </w:p>
    <w:p w14:paraId="36A5E74E" w14:textId="17957D1E" w:rsidR="00270464" w:rsidRDefault="00517105">
      <w:pPr>
        <w:spacing w:before="0"/>
        <w:jc w:val="both"/>
        <w:outlineLvl w:val="0"/>
        <w:rPr>
          <w:szCs w:val="24"/>
          <w:lang w:val="en-GB"/>
        </w:rPr>
      </w:pPr>
      <w:r>
        <w:rPr>
          <w:szCs w:val="24"/>
          <w:lang w:val="en-GB"/>
        </w:rPr>
        <w:t>Internet address:</w:t>
      </w:r>
      <w:r w:rsidR="00270464">
        <w:rPr>
          <w:szCs w:val="24"/>
          <w:lang w:val="en-GB"/>
        </w:rPr>
        <w:t xml:space="preserve"> </w:t>
      </w:r>
      <w:hyperlink r:id="rId8" w:history="1">
        <w:r w:rsidR="00270464" w:rsidRPr="007D00FE">
          <w:rPr>
            <w:rStyle w:val="Hyperlink"/>
            <w:szCs w:val="24"/>
            <w:lang w:val="en-GB"/>
          </w:rPr>
          <w:t>www.dkpirot.rs</w:t>
        </w:r>
      </w:hyperlink>
    </w:p>
    <w:p w14:paraId="4FE02361" w14:textId="77777777" w:rsidR="00270464" w:rsidRDefault="00270464">
      <w:pPr>
        <w:spacing w:before="0"/>
        <w:jc w:val="both"/>
        <w:outlineLvl w:val="0"/>
        <w:rPr>
          <w:szCs w:val="24"/>
          <w:lang w:val="en-GB"/>
        </w:rPr>
      </w:pPr>
    </w:p>
    <w:p w14:paraId="65221AA5" w14:textId="39D8363F" w:rsidR="00363C74" w:rsidRDefault="00517105">
      <w:pPr>
        <w:spacing w:before="0"/>
        <w:jc w:val="both"/>
        <w:outlineLvl w:val="0"/>
        <w:rPr>
          <w:szCs w:val="24"/>
          <w:lang w:val="en-GB"/>
        </w:rPr>
      </w:pPr>
      <w:r>
        <w:rPr>
          <w:szCs w:val="24"/>
          <w:lang w:val="en-GB"/>
        </w:rPr>
        <w:t xml:space="preserve"> </w:t>
      </w:r>
    </w:p>
    <w:p w14:paraId="686520AD" w14:textId="77777777" w:rsidR="00363C74" w:rsidRDefault="00517105">
      <w:pPr>
        <w:spacing w:before="0"/>
        <w:jc w:val="both"/>
        <w:outlineLvl w:val="0"/>
        <w:rPr>
          <w:szCs w:val="24"/>
          <w:lang w:val="en-GB"/>
        </w:rPr>
      </w:pPr>
      <w:r>
        <w:rPr>
          <w:szCs w:val="24"/>
          <w:lang w:val="en-GB"/>
        </w:rPr>
        <w:t>Roles of this organisation: Buyer (“Buyer”</w:t>
      </w:r>
      <w:r>
        <w:rPr>
          <w:b/>
          <w:szCs w:val="24"/>
          <w:lang w:val="en-GB"/>
        </w:rPr>
        <w:t xml:space="preserve"> </w:t>
      </w:r>
      <w:r>
        <w:rPr>
          <w:bCs/>
          <w:szCs w:val="24"/>
          <w:lang w:val="en-GB"/>
        </w:rPr>
        <w:t>in this context refers to contracting authority</w:t>
      </w:r>
      <w:r>
        <w:rPr>
          <w:szCs w:val="24"/>
          <w:lang w:val="en-GB"/>
        </w:rPr>
        <w:t>)</w:t>
      </w:r>
    </w:p>
    <w:sectPr w:rsidR="00363C74">
      <w:footerReference w:type="default" r:id="rId9"/>
      <w:pgSz w:w="12240" w:h="15840"/>
      <w:pgMar w:top="487" w:right="1440" w:bottom="1276" w:left="1418" w:header="0" w:footer="631"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643C7" w14:textId="77777777" w:rsidR="00D625F2" w:rsidRDefault="00D625F2">
      <w:pPr>
        <w:spacing w:before="0" w:after="0"/>
      </w:pPr>
      <w:r>
        <w:separator/>
      </w:r>
    </w:p>
  </w:endnote>
  <w:endnote w:type="continuationSeparator" w:id="0">
    <w:p w14:paraId="1B2DF8B1" w14:textId="77777777" w:rsidR="00D625F2" w:rsidRDefault="00D625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BA931" w14:textId="77777777" w:rsidR="00363C74" w:rsidRDefault="00517105">
    <w:pPr>
      <w:pStyle w:val="Footer"/>
      <w:tabs>
        <w:tab w:val="clear" w:pos="4320"/>
        <w:tab w:val="clear" w:pos="8640"/>
        <w:tab w:val="right" w:pos="9214"/>
      </w:tabs>
      <w:spacing w:before="120" w:after="0"/>
      <w:rPr>
        <w:b/>
        <w:sz w:val="18"/>
        <w:szCs w:val="18"/>
        <w:lang w:val="en-GB"/>
      </w:rPr>
    </w:pPr>
    <w:r>
      <w:rPr>
        <w:b/>
        <w:sz w:val="18"/>
        <w:szCs w:val="18"/>
        <w:lang w:val="en-GB"/>
      </w:rPr>
      <w:t>2025</w:t>
    </w:r>
  </w:p>
  <w:p w14:paraId="44966FD4" w14:textId="77777777" w:rsidR="00363C74" w:rsidRDefault="00517105">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FILENAME</w:instrText>
    </w:r>
    <w:r>
      <w:rPr>
        <w:sz w:val="18"/>
        <w:szCs w:val="18"/>
        <w:lang w:val="en-GB"/>
      </w:rPr>
      <w:fldChar w:fldCharType="separate"/>
    </w:r>
    <w:r>
      <w:rPr>
        <w:sz w:val="18"/>
        <w:szCs w:val="18"/>
        <w:lang w:val="en-GB"/>
      </w:rPr>
      <w:t>a5e_contractnotice_en.docx</w:t>
    </w:r>
    <w:r>
      <w:rPr>
        <w:sz w:val="18"/>
        <w:szCs w:val="18"/>
        <w:lang w:val="en-GB"/>
      </w:rPr>
      <w:fldChar w:fldCharType="end"/>
    </w:r>
    <w:r>
      <w:rPr>
        <w:sz w:val="18"/>
        <w:szCs w:val="18"/>
        <w:lang w:val="en-GB"/>
      </w:rPr>
      <w:tab/>
      <w:t xml:space="preserve">Page </w:t>
    </w:r>
    <w:r>
      <w:rPr>
        <w:rStyle w:val="PageNumber"/>
        <w:sz w:val="18"/>
        <w:szCs w:val="18"/>
      </w:rPr>
      <w:fldChar w:fldCharType="begin"/>
    </w:r>
    <w:r>
      <w:rPr>
        <w:rStyle w:val="PageNumber"/>
        <w:sz w:val="18"/>
        <w:szCs w:val="18"/>
      </w:rPr>
      <w:instrText>PAGE</w:instrText>
    </w:r>
    <w:r>
      <w:rPr>
        <w:rStyle w:val="PageNumber"/>
        <w:sz w:val="18"/>
        <w:szCs w:val="18"/>
      </w:rPr>
      <w:fldChar w:fldCharType="separate"/>
    </w:r>
    <w:r>
      <w:rPr>
        <w:rStyle w:val="PageNumber"/>
        <w:noProof/>
        <w:sz w:val="18"/>
        <w:szCs w:val="18"/>
      </w:rPr>
      <w:t>4</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NUMPAGES</w:instrText>
    </w:r>
    <w:r>
      <w:rPr>
        <w:rStyle w:val="PageNumber"/>
        <w:sz w:val="18"/>
        <w:szCs w:val="18"/>
      </w:rPr>
      <w:fldChar w:fldCharType="separate"/>
    </w:r>
    <w:r>
      <w:rPr>
        <w:rStyle w:val="PageNumber"/>
        <w:noProof/>
        <w:sz w:val="18"/>
        <w:szCs w:val="18"/>
      </w:rPr>
      <w:t>4</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E4F35" w14:textId="77777777" w:rsidR="00D625F2" w:rsidRDefault="00D625F2">
      <w:pPr>
        <w:rPr>
          <w:sz w:val="12"/>
        </w:rPr>
      </w:pPr>
      <w:r>
        <w:separator/>
      </w:r>
    </w:p>
  </w:footnote>
  <w:footnote w:type="continuationSeparator" w:id="0">
    <w:p w14:paraId="106EEE41" w14:textId="77777777" w:rsidR="00D625F2" w:rsidRDefault="00D625F2">
      <w:pPr>
        <w:rPr>
          <w:sz w:val="12"/>
        </w:rPr>
      </w:pPr>
      <w:r>
        <w:continuationSeparator/>
      </w:r>
    </w:p>
  </w:footnote>
  <w:footnote w:id="1">
    <w:p w14:paraId="7F9003C4" w14:textId="77777777" w:rsidR="00363C74" w:rsidRDefault="00517105">
      <w:pPr>
        <w:pStyle w:val="FootnoteText"/>
        <w:ind w:left="142" w:hanging="142"/>
      </w:pPr>
      <w:r>
        <w:rPr>
          <w:rStyle w:val="FootnoteCharacters"/>
        </w:rPr>
        <w:footnoteRef/>
      </w:r>
      <w:r>
        <w:rPr>
          <w:sz w:val="18"/>
          <w:szCs w:val="18"/>
        </w:rPr>
        <w:tab/>
        <w:t xml:space="preserve">The Common Procurement Vocabulary (CPV) is the mandatory reference nomenclature applicable to procurement contracts. The list of CPV codes is available on: </w:t>
      </w:r>
      <w:hyperlink r:id="rId1">
        <w:r>
          <w:rPr>
            <w:rStyle w:val="Hyperlink"/>
            <w:sz w:val="18"/>
            <w:szCs w:val="18"/>
          </w:rPr>
          <w:t>https://ted.europa.eu/en/simap/cpv</w:t>
        </w:r>
      </w:hyperlink>
      <w:r>
        <w:rPr>
          <w:sz w:val="18"/>
          <w:szCs w:val="18"/>
        </w:rPr>
        <w:t xml:space="preserve">. </w:t>
      </w:r>
    </w:p>
  </w:footnote>
  <w:footnote w:id="2">
    <w:p w14:paraId="52ED7D73" w14:textId="77777777" w:rsidR="00363C74" w:rsidRDefault="00517105">
      <w:pPr>
        <w:pStyle w:val="FootnoteText"/>
        <w:ind w:left="142" w:hanging="142"/>
        <w:rPr>
          <w:lang w:val="en-IE"/>
        </w:rPr>
      </w:pPr>
      <w:r>
        <w:rPr>
          <w:rStyle w:val="FootnoteCharacters"/>
        </w:rPr>
        <w:footnoteRef/>
      </w:r>
      <w:r>
        <w:rPr>
          <w:sz w:val="18"/>
          <w:szCs w:val="18"/>
          <w:lang w:val="en-IE"/>
        </w:rPr>
        <w:tab/>
        <w:t>It might be used to expand the description of the subject matter of the contract.</w:t>
      </w:r>
    </w:p>
  </w:footnote>
  <w:footnote w:id="3">
    <w:p w14:paraId="7BF2795E" w14:textId="77777777" w:rsidR="00363C74" w:rsidRDefault="00517105">
      <w:pPr>
        <w:pStyle w:val="FootnoteText"/>
        <w:ind w:left="142" w:hanging="142"/>
        <w:jc w:val="both"/>
        <w:rPr>
          <w:lang w:val="en-IE"/>
        </w:rPr>
      </w:pPr>
      <w:r>
        <w:rPr>
          <w:rStyle w:val="FootnoteCharacters"/>
        </w:rPr>
        <w:footnoteRef/>
      </w:r>
      <w:r>
        <w:tab/>
        <w:t xml:space="preserve">Regulation (EU, Euratom) 2024/2509 of the European Parliament and of the Council of 23 September 2024 on the financial rules applicable to the general budget of the Union (recast), PE/99/2023/REV/1, OJ L, 2024/2509, 26.9.2024, ELI: </w:t>
      </w:r>
      <w:hyperlink r:id="rId2">
        <w:r>
          <w:rPr>
            <w:rStyle w:val="Hyperlink"/>
          </w:rPr>
          <w:t>http://data.europa.eu/eli/reg/2024/2509/oj</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77C72"/>
    <w:multiLevelType w:val="multilevel"/>
    <w:tmpl w:val="0A0E2768"/>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432" w:hanging="432"/>
      </w:pPr>
      <w:rPr>
        <w:b/>
        <w:bCs/>
      </w:rPr>
    </w:lvl>
    <w:lvl w:ilvl="2">
      <w:start w:val="1"/>
      <w:numFmt w:val="decimal"/>
      <w:lvlText w:val="%1.%2.%3."/>
      <w:lvlJc w:val="left"/>
      <w:pPr>
        <w:tabs>
          <w:tab w:val="num" w:pos="0"/>
        </w:tabs>
        <w:ind w:left="504" w:hanging="504"/>
      </w:pPr>
      <w:rPr>
        <w:b/>
        <w:bCs w:val="0"/>
        <w:i w:val="0"/>
        <w:iCs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A4C1001"/>
    <w:multiLevelType w:val="multilevel"/>
    <w:tmpl w:val="317496E8"/>
    <w:lvl w:ilvl="0">
      <w:start w:val="2"/>
      <w:numFmt w:val="decimal"/>
      <w:lvlText w:val="%1."/>
      <w:lvlJc w:val="left"/>
      <w:pPr>
        <w:tabs>
          <w:tab w:val="num" w:pos="0"/>
        </w:tabs>
        <w:ind w:left="510" w:hanging="510"/>
      </w:pPr>
      <w:rPr>
        <w:u w:val="none"/>
      </w:rPr>
    </w:lvl>
    <w:lvl w:ilvl="1">
      <w:start w:val="1"/>
      <w:numFmt w:val="decimal"/>
      <w:lvlText w:val="%1.%2."/>
      <w:lvlJc w:val="left"/>
      <w:pPr>
        <w:tabs>
          <w:tab w:val="num" w:pos="0"/>
        </w:tabs>
        <w:ind w:left="762" w:hanging="510"/>
      </w:pPr>
      <w:rPr>
        <w:u w:val="none"/>
      </w:rPr>
    </w:lvl>
    <w:lvl w:ilvl="2">
      <w:start w:val="3"/>
      <w:numFmt w:val="decimal"/>
      <w:lvlText w:val="%1.%2.%3."/>
      <w:lvlJc w:val="left"/>
      <w:pPr>
        <w:tabs>
          <w:tab w:val="num" w:pos="0"/>
        </w:tabs>
        <w:ind w:left="720" w:hanging="720"/>
      </w:pPr>
      <w:rPr>
        <w:u w:val="none"/>
      </w:rPr>
    </w:lvl>
    <w:lvl w:ilvl="3">
      <w:start w:val="1"/>
      <w:numFmt w:val="decimal"/>
      <w:lvlText w:val="%1.%2.%3.%4."/>
      <w:lvlJc w:val="left"/>
      <w:pPr>
        <w:tabs>
          <w:tab w:val="num" w:pos="0"/>
        </w:tabs>
        <w:ind w:left="1476" w:hanging="720"/>
      </w:pPr>
      <w:rPr>
        <w:u w:val="none"/>
      </w:rPr>
    </w:lvl>
    <w:lvl w:ilvl="4">
      <w:start w:val="1"/>
      <w:numFmt w:val="decimal"/>
      <w:lvlText w:val="%1.%2.%3.%4.%5."/>
      <w:lvlJc w:val="left"/>
      <w:pPr>
        <w:tabs>
          <w:tab w:val="num" w:pos="0"/>
        </w:tabs>
        <w:ind w:left="2088" w:hanging="1080"/>
      </w:pPr>
      <w:rPr>
        <w:u w:val="none"/>
      </w:rPr>
    </w:lvl>
    <w:lvl w:ilvl="5">
      <w:start w:val="1"/>
      <w:numFmt w:val="decimal"/>
      <w:lvlText w:val="%1.%2.%3.%4.%5.%6."/>
      <w:lvlJc w:val="left"/>
      <w:pPr>
        <w:tabs>
          <w:tab w:val="num" w:pos="0"/>
        </w:tabs>
        <w:ind w:left="2340" w:hanging="1080"/>
      </w:pPr>
      <w:rPr>
        <w:u w:val="none"/>
      </w:rPr>
    </w:lvl>
    <w:lvl w:ilvl="6">
      <w:start w:val="1"/>
      <w:numFmt w:val="decimal"/>
      <w:lvlText w:val="%1.%2.%3.%4.%5.%6.%7."/>
      <w:lvlJc w:val="left"/>
      <w:pPr>
        <w:tabs>
          <w:tab w:val="num" w:pos="0"/>
        </w:tabs>
        <w:ind w:left="2952" w:hanging="1440"/>
      </w:pPr>
      <w:rPr>
        <w:u w:val="none"/>
      </w:rPr>
    </w:lvl>
    <w:lvl w:ilvl="7">
      <w:start w:val="1"/>
      <w:numFmt w:val="decimal"/>
      <w:lvlText w:val="%1.%2.%3.%4.%5.%6.%7.%8."/>
      <w:lvlJc w:val="left"/>
      <w:pPr>
        <w:tabs>
          <w:tab w:val="num" w:pos="0"/>
        </w:tabs>
        <w:ind w:left="3204" w:hanging="1440"/>
      </w:pPr>
      <w:rPr>
        <w:u w:val="none"/>
      </w:rPr>
    </w:lvl>
    <w:lvl w:ilvl="8">
      <w:start w:val="1"/>
      <w:numFmt w:val="decimal"/>
      <w:lvlText w:val="%1.%2.%3.%4.%5.%6.%7.%8.%9."/>
      <w:lvlJc w:val="left"/>
      <w:pPr>
        <w:tabs>
          <w:tab w:val="num" w:pos="0"/>
        </w:tabs>
        <w:ind w:left="3816" w:hanging="1800"/>
      </w:pPr>
      <w:rPr>
        <w:u w:val="none"/>
      </w:rPr>
    </w:lvl>
  </w:abstractNum>
  <w:abstractNum w:abstractNumId="2" w15:restartNumberingAfterBreak="0">
    <w:nsid w:val="2E1F2542"/>
    <w:multiLevelType w:val="hybridMultilevel"/>
    <w:tmpl w:val="2278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306112"/>
    <w:multiLevelType w:val="multilevel"/>
    <w:tmpl w:val="86143B60"/>
    <w:lvl w:ilvl="0">
      <w:start w:val="1"/>
      <w:numFmt w:val="decimal"/>
      <w:pStyle w:val="PRAGHeading2"/>
      <w:lvlText w:val="%1."/>
      <w:lvlJc w:val="left"/>
      <w:pPr>
        <w:tabs>
          <w:tab w:val="num" w:pos="1134"/>
        </w:tabs>
        <w:ind w:left="1134" w:hanging="567"/>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EC547B6"/>
    <w:multiLevelType w:val="hybridMultilevel"/>
    <w:tmpl w:val="9CE0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2864B4"/>
    <w:multiLevelType w:val="multilevel"/>
    <w:tmpl w:val="22D219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E553BF4"/>
    <w:multiLevelType w:val="hybridMultilevel"/>
    <w:tmpl w:val="ECB0B92A"/>
    <w:lvl w:ilvl="0" w:tplc="C16851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D01CF8"/>
    <w:multiLevelType w:val="hybridMultilevel"/>
    <w:tmpl w:val="06DA3D7C"/>
    <w:lvl w:ilvl="0" w:tplc="C16851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2343187">
    <w:abstractNumId w:val="3"/>
  </w:num>
  <w:num w:numId="2" w16cid:durableId="624309374">
    <w:abstractNumId w:val="0"/>
  </w:num>
  <w:num w:numId="3" w16cid:durableId="701976895">
    <w:abstractNumId w:val="1"/>
  </w:num>
  <w:num w:numId="4" w16cid:durableId="1553617897">
    <w:abstractNumId w:val="5"/>
  </w:num>
  <w:num w:numId="5" w16cid:durableId="1642075165">
    <w:abstractNumId w:val="4"/>
  </w:num>
  <w:num w:numId="6" w16cid:durableId="1037703447">
    <w:abstractNumId w:val="2"/>
  </w:num>
  <w:num w:numId="7" w16cid:durableId="1645233338">
    <w:abstractNumId w:val="6"/>
  </w:num>
  <w:num w:numId="8" w16cid:durableId="16196046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proofState w:spelling="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C74"/>
    <w:rsid w:val="00063450"/>
    <w:rsid w:val="000F0606"/>
    <w:rsid w:val="00100C60"/>
    <w:rsid w:val="00121EDF"/>
    <w:rsid w:val="00122C4B"/>
    <w:rsid w:val="001377AE"/>
    <w:rsid w:val="00186B42"/>
    <w:rsid w:val="001B18AE"/>
    <w:rsid w:val="00270464"/>
    <w:rsid w:val="0027529C"/>
    <w:rsid w:val="003324B1"/>
    <w:rsid w:val="00363C74"/>
    <w:rsid w:val="003F5A25"/>
    <w:rsid w:val="004967B7"/>
    <w:rsid w:val="00517105"/>
    <w:rsid w:val="00532808"/>
    <w:rsid w:val="00545F73"/>
    <w:rsid w:val="00621CF5"/>
    <w:rsid w:val="00624ACE"/>
    <w:rsid w:val="006818EA"/>
    <w:rsid w:val="006C42D3"/>
    <w:rsid w:val="006F6483"/>
    <w:rsid w:val="00743003"/>
    <w:rsid w:val="00746C4D"/>
    <w:rsid w:val="00775742"/>
    <w:rsid w:val="007D2E10"/>
    <w:rsid w:val="00842063"/>
    <w:rsid w:val="00853E94"/>
    <w:rsid w:val="00876873"/>
    <w:rsid w:val="008D2B73"/>
    <w:rsid w:val="009300D1"/>
    <w:rsid w:val="009B38F1"/>
    <w:rsid w:val="00A27EC0"/>
    <w:rsid w:val="00A374F8"/>
    <w:rsid w:val="00B06652"/>
    <w:rsid w:val="00B37C44"/>
    <w:rsid w:val="00B67976"/>
    <w:rsid w:val="00C1034D"/>
    <w:rsid w:val="00C37890"/>
    <w:rsid w:val="00C635E7"/>
    <w:rsid w:val="00C70A4C"/>
    <w:rsid w:val="00C9215B"/>
    <w:rsid w:val="00D007BD"/>
    <w:rsid w:val="00D11A4E"/>
    <w:rsid w:val="00D625F2"/>
    <w:rsid w:val="00D86790"/>
    <w:rsid w:val="00E21012"/>
    <w:rsid w:val="00E37734"/>
    <w:rsid w:val="00E41628"/>
    <w:rsid w:val="00EA11D9"/>
    <w:rsid w:val="00F203E4"/>
    <w:rsid w:val="00F43ED2"/>
    <w:rsid w:val="00F74802"/>
    <w:rsid w:val="00F97784"/>
    <w:rsid w:val="00FB1544"/>
  </w:rsids>
  <m:mathPr>
    <m:mathFont m:val="Cambria Math"/>
    <m:brkBin m:val="before"/>
    <m:brkBinSub m:val="--"/>
    <m:smallFrac m:val="0"/>
    <m:dispDef/>
    <m:lMargin m:val="0"/>
    <m:rMargin m:val="0"/>
    <m:defJc m:val="centerGroup"/>
    <m:wrapIndent m:val="1440"/>
    <m:intLim m:val="subSup"/>
    <m:naryLim m:val="undOvr"/>
  </m:mathPr>
  <w:themeFontLang w:val="fr-BE"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4E9D5"/>
  <w15:docId w15:val="{ABD02D17-F9CF-47C7-A389-BF0D5F2FC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caption" w:semiHidden="1" w:unhideWhenUsed="1" w:qFormat="1"/>
    <w:lsdException w:name="footnote reference" w:semiHidden="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lsdException w:name="HTML Keyboar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z w:val="24"/>
    </w:rPr>
  </w:style>
  <w:style w:type="paragraph" w:styleId="Heading2">
    <w:name w:val="heading 2"/>
    <w:basedOn w:val="Normal"/>
    <w:next w:val="Normal"/>
    <w:qFormat/>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qFormat/>
    <w:rPr>
      <w:sz w:val="16"/>
      <w:szCs w:val="16"/>
    </w:rPr>
  </w:style>
  <w:style w:type="character" w:styleId="Emphasis">
    <w:name w:val="Emphasis"/>
    <w:qFormat/>
    <w:rPr>
      <w:i/>
    </w:rPr>
  </w:style>
  <w:style w:type="character" w:styleId="FollowedHyperlink">
    <w:name w:val="FollowedHyperlink"/>
    <w:rPr>
      <w:color w:val="800080"/>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Hyperlink">
    <w:name w:val="Hyperlink"/>
    <w:uiPriority w:val="99"/>
    <w:rPr>
      <w:color w:val="0000FF"/>
      <w:u w:val="single"/>
    </w:rPr>
  </w:style>
  <w:style w:type="character" w:styleId="PageNumber">
    <w:name w:val="page number"/>
    <w:basedOn w:val="DefaultParagraphFont"/>
    <w:qFormat/>
  </w:style>
  <w:style w:type="character" w:styleId="Strong">
    <w:name w:val="Strong"/>
    <w:qFormat/>
    <w:rPr>
      <w:b/>
    </w:rPr>
  </w:style>
  <w:style w:type="character" w:customStyle="1" w:styleId="Definition">
    <w:name w:val="Definition"/>
    <w:qFormat/>
    <w:rPr>
      <w:i/>
    </w:r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FooterChar">
    <w:name w:val="Footer Char"/>
    <w:link w:val="Footer"/>
    <w:qFormat/>
    <w:rPr>
      <w:sz w:val="24"/>
      <w:lang w:val="en-US" w:eastAsia="en-US"/>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CommentTextChar">
    <w:name w:val="Comment Text Char"/>
    <w:link w:val="CommentText"/>
    <w:qFormat/>
    <w:rPr>
      <w:lang w:val="en-US" w:eastAsia="en-US"/>
    </w:rPr>
  </w:style>
  <w:style w:type="character" w:customStyle="1" w:styleId="CommentSubjectChar">
    <w:name w:val="Comment Subject Char"/>
    <w:link w:val="CommentSubject"/>
    <w:qFormat/>
    <w:rPr>
      <w:b/>
      <w:bCs/>
      <w:lang w:val="en-US" w:eastAsia="en-US"/>
    </w:rPr>
  </w:style>
  <w:style w:type="character" w:customStyle="1" w:styleId="FunoteChar">
    <w:name w:val="Fußnote Char"/>
    <w:uiPriority w:val="99"/>
    <w:qFormat/>
    <w:rPr>
      <w:rFonts w:ascii="Times New Roman" w:eastAsia="Times New Roman" w:hAnsi="Times New Roman" w:cs="Times New Roman"/>
    </w:rPr>
  </w:style>
  <w:style w:type="character" w:customStyle="1" w:styleId="EndnoteTextChar">
    <w:name w:val="Endnote Text Char"/>
    <w:link w:val="EndnoteText"/>
    <w:qFormat/>
    <w:rPr>
      <w:lang w:val="en-US" w:eastAsia="en-US"/>
    </w:rPr>
  </w:style>
  <w:style w:type="character" w:customStyle="1" w:styleId="SubtitleChar">
    <w:name w:val="Subtitle Char"/>
    <w:link w:val="Subtitle"/>
    <w:qFormat/>
    <w:rPr>
      <w:rFonts w:ascii="Arial" w:hAnsi="Arial"/>
      <w:b/>
      <w:sz w:val="28"/>
      <w:lang w:eastAsia="en-US"/>
    </w:rPr>
  </w:style>
  <w:style w:type="character" w:customStyle="1" w:styleId="label">
    <w:name w:val="label"/>
    <w:basedOn w:val="DefaultParagraphFont"/>
    <w:qFormat/>
  </w:style>
  <w:style w:type="character" w:customStyle="1" w:styleId="text">
    <w:name w:val="text"/>
    <w:basedOn w:val="DefaultParagraphFont"/>
    <w:qFormat/>
  </w:style>
  <w:style w:type="character" w:customStyle="1" w:styleId="dynamic-label">
    <w:name w:val="dynamic-label"/>
    <w:basedOn w:val="DefaultParagraphFont"/>
    <w:qFormat/>
  </w:style>
  <w:style w:type="character" w:customStyle="1" w:styleId="value">
    <w:name w:val="value"/>
    <w:basedOn w:val="DefaultParagraphFont"/>
    <w:qFormat/>
  </w:style>
  <w:style w:type="character" w:customStyle="1" w:styleId="UnresolvedMention1">
    <w:name w:val="Unresolved Mention1"/>
    <w:uiPriority w:val="99"/>
    <w:semiHidden/>
    <w:unhideWhenUsed/>
    <w:qFormat/>
    <w:rPr>
      <w:color w:val="605E5C"/>
      <w:shd w:val="clear" w:color="auto" w:fill="E1DFDD"/>
    </w:rPr>
  </w:style>
  <w:style w:type="character" w:customStyle="1" w:styleId="UnresolvedMention2">
    <w:name w:val="Unresolved Mention2"/>
    <w:basedOn w:val="DefaultParagraphFont"/>
    <w:uiPriority w:val="99"/>
    <w:semiHidden/>
    <w:unhideWhenUsed/>
    <w:qFormat/>
    <w:rsid w:val="002B653A"/>
    <w:rPr>
      <w:color w:val="605E5C"/>
      <w:shd w:val="clear" w:color="auto" w:fill="E1DFDD"/>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Index">
    <w:name w:val="Index"/>
    <w:basedOn w:val="Normal"/>
    <w:qFormat/>
    <w:pPr>
      <w:suppressLineNumbers/>
    </w:pPr>
    <w:rPr>
      <w:rFonts w:cs="Arial"/>
    </w:rPr>
  </w:style>
  <w:style w:type="paragraph" w:styleId="BalloonText">
    <w:name w:val="Balloon Text"/>
    <w:basedOn w:val="Normal"/>
    <w:link w:val="BalloonTextChar"/>
    <w:qFormat/>
    <w:pPr>
      <w:spacing w:before="0" w:after="0"/>
    </w:pPr>
    <w:rPr>
      <w:rFonts w:ascii="Tahoma" w:hAnsi="Tahoma" w:cs="Tahoma"/>
      <w:sz w:val="16"/>
      <w:szCs w:val="16"/>
    </w:rPr>
  </w:style>
  <w:style w:type="paragraph" w:styleId="BodyText3">
    <w:name w:val="Body Text 3"/>
    <w:basedOn w:val="Normal"/>
    <w:qFormat/>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pPr>
    <w:rPr>
      <w:rFonts w:ascii="Arial" w:hAnsi="Arial"/>
      <w:b/>
      <w:lang w:val="en-GB"/>
    </w:rPr>
  </w:style>
  <w:style w:type="paragraph" w:styleId="CommentText">
    <w:name w:val="annotation text"/>
    <w:basedOn w:val="Normal"/>
    <w:link w:val="CommentTextChar"/>
    <w:qFormat/>
    <w:rPr>
      <w:sz w:val="20"/>
    </w:rPr>
  </w:style>
  <w:style w:type="paragraph" w:styleId="CommentSubject">
    <w:name w:val="annotation subject"/>
    <w:basedOn w:val="CommentText"/>
    <w:next w:val="CommentText"/>
    <w:link w:val="CommentSubjectChar"/>
    <w:qFormat/>
    <w:rPr>
      <w:b/>
      <w:bCs/>
    </w:rPr>
  </w:style>
  <w:style w:type="paragraph" w:styleId="DocumentMap">
    <w:name w:val="Document Map"/>
    <w:basedOn w:val="Normal"/>
    <w:semiHidden/>
    <w:qFormat/>
    <w:pPr>
      <w:shd w:val="clear" w:color="auto" w:fill="000080"/>
    </w:pPr>
    <w:rPr>
      <w:rFonts w:ascii="Tahoma" w:hAnsi="Tahoma"/>
    </w:rPr>
  </w:style>
  <w:style w:type="paragraph" w:styleId="EndnoteText">
    <w:name w:val="endnote text"/>
    <w:basedOn w:val="Normal"/>
    <w:link w:val="EndnoteTextChar"/>
    <w:rPr>
      <w:sz w:val="20"/>
    </w:rPr>
  </w:style>
  <w:style w:type="paragraph" w:customStyle="1" w:styleId="HeaderandFooter">
    <w:name w:val="Header and Footer"/>
    <w:basedOn w:val="Normal"/>
    <w:qFormat/>
  </w:style>
  <w:style w:type="paragraph" w:styleId="Footer">
    <w:name w:val="footer"/>
    <w:basedOn w:val="Normal"/>
    <w:link w:val="FooterChar"/>
    <w:pPr>
      <w:tabs>
        <w:tab w:val="center" w:pos="4320"/>
        <w:tab w:val="right" w:pos="8640"/>
      </w:tabs>
    </w:pPr>
  </w:style>
  <w:style w:type="paragraph" w:styleId="FootnoteText">
    <w:name w:val="footnote text"/>
    <w:basedOn w:val="Normal"/>
    <w:semiHidden/>
    <w:rPr>
      <w:sz w:val="20"/>
    </w:r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widowControl/>
      <w:spacing w:beforeAutospacing="1" w:afterAutospacing="1"/>
    </w:pPr>
    <w:rPr>
      <w:szCs w:val="24"/>
      <w:lang w:val="en-GB" w:eastAsia="en-GB"/>
    </w:rPr>
  </w:style>
  <w:style w:type="paragraph" w:styleId="Subtitle">
    <w:name w:val="Subtitle"/>
    <w:basedOn w:val="Normal"/>
    <w:link w:val="SubtitleChar"/>
    <w:qFormat/>
    <w:pPr>
      <w:widowControl/>
      <w:spacing w:before="120" w:after="120"/>
      <w:jc w:val="center"/>
    </w:pPr>
    <w:rPr>
      <w:rFonts w:ascii="Arial" w:hAnsi="Arial"/>
      <w:b/>
      <w:sz w:val="28"/>
      <w:lang w:val="fr-BE"/>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paragraph" w:customStyle="1" w:styleId="H1">
    <w:name w:val="H1"/>
    <w:basedOn w:val="Normal"/>
    <w:next w:val="Normal"/>
    <w:qFormat/>
    <w:pPr>
      <w:keepNext/>
      <w:outlineLvl w:val="1"/>
    </w:pPr>
    <w:rPr>
      <w:b/>
      <w:kern w:val="2"/>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qFormat/>
    <w:pPr>
      <w:widowControl w:val="0"/>
      <w:pBdr>
        <w:top w:val="double" w:sz="2" w:space="0" w:color="000000"/>
      </w:pBdr>
      <w:jc w:val="center"/>
    </w:pPr>
    <w:rPr>
      <w:rFonts w:ascii="Arial" w:hAnsi="Arial"/>
      <w:vanish/>
      <w:sz w:val="16"/>
    </w:rPr>
  </w:style>
  <w:style w:type="paragraph" w:customStyle="1" w:styleId="z-TopofForm1">
    <w:name w:val="z-Top of Form1"/>
    <w:next w:val="Normal"/>
    <w:qFormat/>
    <w:pPr>
      <w:widowControl w:val="0"/>
      <w:pBdr>
        <w:bottom w:val="double" w:sz="2" w:space="0" w:color="000000"/>
      </w:pBdr>
      <w:jc w:val="center"/>
    </w:pPr>
    <w:rPr>
      <w:rFonts w:ascii="Arial" w:hAnsi="Arial"/>
      <w:vanish/>
      <w:sz w:val="16"/>
    </w:rPr>
  </w:style>
  <w:style w:type="paragraph" w:customStyle="1" w:styleId="PRAGHeading2">
    <w:name w:val="PRAG Heading 2"/>
    <w:basedOn w:val="Normal"/>
    <w:qFormat/>
    <w:pPr>
      <w:numPr>
        <w:numId w:val="1"/>
      </w:numPr>
    </w:pPr>
  </w:style>
  <w:style w:type="paragraph" w:customStyle="1" w:styleId="Revision1">
    <w:name w:val="Revision1"/>
    <w:uiPriority w:val="99"/>
    <w:semiHidden/>
    <w:qFormat/>
    <w:rPr>
      <w:sz w:val="24"/>
    </w:rPr>
  </w:style>
  <w:style w:type="paragraph" w:styleId="Revision">
    <w:name w:val="Revision"/>
    <w:hidden/>
    <w:uiPriority w:val="99"/>
    <w:unhideWhenUsed/>
    <w:rsid w:val="00B37C44"/>
    <w:pPr>
      <w:suppressAutoHyphens w:val="0"/>
    </w:pPr>
    <w:rPr>
      <w:sz w:val="24"/>
    </w:rPr>
  </w:style>
  <w:style w:type="paragraph" w:styleId="ListParagraph">
    <w:name w:val="List Paragraph"/>
    <w:basedOn w:val="Normal"/>
    <w:uiPriority w:val="99"/>
    <w:unhideWhenUsed/>
    <w:rsid w:val="006F6483"/>
    <w:pPr>
      <w:ind w:left="720"/>
      <w:contextualSpacing/>
    </w:pPr>
  </w:style>
  <w:style w:type="character" w:styleId="UnresolvedMention">
    <w:name w:val="Unresolved Mention"/>
    <w:basedOn w:val="DefaultParagraphFont"/>
    <w:uiPriority w:val="99"/>
    <w:semiHidden/>
    <w:unhideWhenUsed/>
    <w:rsid w:val="002704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kpirot.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data.europa.eu/eli/reg/2024/2509/oj" TargetMode="External"/><Relationship Id="rId1" Type="http://schemas.openxmlformats.org/officeDocument/2006/relationships/hyperlink" Target="https://ted.europa.eu/en/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D1C5B-6207-4E39-9B34-B17CBF4B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dc:description/>
  <cp:lastModifiedBy>Natasa</cp:lastModifiedBy>
  <cp:revision>7</cp:revision>
  <cp:lastPrinted>2024-01-16T09:06:00Z</cp:lastPrinted>
  <dcterms:created xsi:type="dcterms:W3CDTF">2025-12-31T08:18:00Z</dcterms:created>
  <dcterms:modified xsi:type="dcterms:W3CDTF">2026-01-21T11:20:00Z</dcterms:modified>
  <dc:language>sr-Latn-RS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FrontPage 3.0</vt:lpwstr>
  </property>
  <property fmtid="{D5CDD505-2E9C-101B-9397-08002B2CF9AE}" pid="4" name="ICV">
    <vt:lpwstr>8E3D967E6EA140ECB074CE8897A29BEA_13</vt:lpwstr>
  </property>
  <property fmtid="{D5CDD505-2E9C-101B-9397-08002B2CF9AE}" pid="5" name="KSOProductBuildVer">
    <vt:lpwstr>1033-12.2.0.23131</vt:lpwstr>
  </property>
  <property fmtid="{D5CDD505-2E9C-101B-9397-08002B2CF9AE}" pid="6" name="MSIP_Label_6bd9ddd1-4d20-43f6-abfa-fc3c07406f94_ActionId">
    <vt:lpwstr>950a7a8b-0b2b-4f35-87d3-da8cfb559a2e</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2024-01-24T18:16:33Z</vt:lpwstr>
  </property>
  <property fmtid="{D5CDD505-2E9C-101B-9397-08002B2CF9AE}" pid="12" name="MSIP_Label_6bd9ddd1-4d20-43f6-abfa-fc3c07406f94_SiteId">
    <vt:lpwstr>b24c8b06-522c-46fe-9080-70926f8dddb1</vt:lpwstr>
  </property>
</Properties>
</file>